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horzAnchor="margin" w:tblpY="505"/>
        <w:tblW w:w="0" w:type="auto"/>
        <w:tblLook w:val="04A0" w:firstRow="1" w:lastRow="0" w:firstColumn="1" w:lastColumn="0" w:noHBand="0" w:noVBand="1"/>
      </w:tblPr>
      <w:tblGrid>
        <w:gridCol w:w="7922"/>
        <w:gridCol w:w="1428"/>
      </w:tblGrid>
      <w:tr w:rsidR="00866C4E" w:rsidRPr="00A53AE6" w14:paraId="7DA238A9" w14:textId="77777777" w:rsidTr="00113D91">
        <w:tc>
          <w:tcPr>
            <w:tcW w:w="8005" w:type="dxa"/>
          </w:tcPr>
          <w:p w14:paraId="7ED14E3C" w14:textId="77777777" w:rsidR="00866C4E" w:rsidRPr="00421EF8" w:rsidRDefault="00866C4E" w:rsidP="00113D91">
            <w:pPr>
              <w:rPr>
                <w:rFonts w:ascii="Arial" w:hAnsi="Arial" w:cs="Arial"/>
                <w:b/>
                <w:sz w:val="20"/>
                <w:szCs w:val="20"/>
              </w:rPr>
            </w:pPr>
            <w:r>
              <w:rPr>
                <w:rFonts w:ascii="Arial" w:hAnsi="Arial" w:cs="Arial"/>
                <w:b/>
                <w:bCs/>
                <w:sz w:val="20"/>
                <w:szCs w:val="20"/>
                <w:lang w:val="es"/>
              </w:rPr>
              <w:t>Solicitante</w:t>
            </w:r>
          </w:p>
        </w:tc>
        <w:tc>
          <w:tcPr>
            <w:tcW w:w="1345" w:type="dxa"/>
          </w:tcPr>
          <w:p w14:paraId="3EB33FC5" w14:textId="77777777" w:rsidR="00866C4E" w:rsidRPr="00A53AE6" w:rsidRDefault="00546FBD" w:rsidP="00113D91">
            <w:pPr>
              <w:rPr>
                <w:rFonts w:ascii="Arial" w:hAnsi="Arial" w:cs="Arial"/>
                <w:b/>
                <w:sz w:val="20"/>
                <w:szCs w:val="20"/>
              </w:rPr>
            </w:pPr>
            <w:r>
              <w:rPr>
                <w:rFonts w:ascii="Arial" w:hAnsi="Arial" w:cs="Arial"/>
                <w:b/>
                <w:bCs/>
                <w:sz w:val="20"/>
                <w:szCs w:val="20"/>
                <w:lang w:val="es"/>
              </w:rPr>
              <w:t>Tarifa</w:t>
            </w:r>
          </w:p>
        </w:tc>
      </w:tr>
      <w:tr w:rsidR="00866C4E" w:rsidRPr="00A53AE6" w14:paraId="2B65E651" w14:textId="77777777" w:rsidTr="0011007B">
        <w:trPr>
          <w:trHeight w:val="1190"/>
        </w:trPr>
        <w:tc>
          <w:tcPr>
            <w:tcW w:w="8005" w:type="dxa"/>
          </w:tcPr>
          <w:p w14:paraId="5917B2BE" w14:textId="00B6C5E2" w:rsidR="001608C7" w:rsidRPr="00A53AE6" w:rsidRDefault="00866C4E" w:rsidP="001608C7">
            <w:pPr>
              <w:rPr>
                <w:rFonts w:ascii="Arial" w:hAnsi="Arial" w:cs="Arial"/>
                <w:b/>
                <w:sz w:val="20"/>
                <w:szCs w:val="20"/>
              </w:rPr>
            </w:pPr>
            <w:r>
              <w:rPr>
                <w:rFonts w:ascii="Arial" w:hAnsi="Arial" w:cs="Arial"/>
                <w:b/>
                <w:bCs/>
                <w:sz w:val="20"/>
                <w:szCs w:val="20"/>
                <w:lang w:val="es"/>
              </w:rPr>
              <w:t>Cliente o representante personal del cliente del Departamento de Salud Mental (DBH)</w:t>
            </w:r>
          </w:p>
          <w:p w14:paraId="26215032" w14:textId="2B7E8176" w:rsidR="00866C4E" w:rsidRPr="00A53AE6" w:rsidRDefault="00223C41" w:rsidP="0011007B">
            <w:pPr>
              <w:rPr>
                <w:rFonts w:ascii="Arial" w:hAnsi="Arial" w:cs="Arial"/>
                <w:sz w:val="20"/>
                <w:szCs w:val="20"/>
              </w:rPr>
            </w:pPr>
            <w:r>
              <w:rPr>
                <w:rFonts w:ascii="Arial" w:hAnsi="Arial" w:cs="Arial"/>
                <w:sz w:val="20"/>
                <w:szCs w:val="20"/>
                <w:lang w:val="es"/>
              </w:rPr>
              <w:t>Todo cliente de DBH o su representante personal tiene derecho a una copia gratuita de los documentos solicitados. El costo de un informe resumido elaborado por un psiquiatra de DBH es también de 0.25 por página.</w:t>
            </w:r>
          </w:p>
        </w:tc>
        <w:tc>
          <w:tcPr>
            <w:tcW w:w="1345" w:type="dxa"/>
          </w:tcPr>
          <w:p w14:paraId="670E51D2" w14:textId="5A4B6560" w:rsidR="00866C4E" w:rsidRPr="00A53AE6" w:rsidRDefault="00A60A5E" w:rsidP="00113D91">
            <w:pPr>
              <w:rPr>
                <w:rFonts w:ascii="Arial" w:hAnsi="Arial" w:cs="Arial"/>
                <w:b/>
                <w:sz w:val="20"/>
                <w:szCs w:val="20"/>
              </w:rPr>
            </w:pPr>
            <w:r>
              <w:rPr>
                <w:rFonts w:ascii="Arial" w:hAnsi="Arial" w:cs="Arial"/>
                <w:b/>
                <w:bCs/>
                <w:sz w:val="20"/>
                <w:szCs w:val="20"/>
                <w:lang w:val="es"/>
              </w:rPr>
              <w:t xml:space="preserve">$0.25 por página </w:t>
            </w:r>
          </w:p>
        </w:tc>
      </w:tr>
      <w:tr w:rsidR="00866C4E" w:rsidRPr="00A53AE6" w14:paraId="1F9CD2FE" w14:textId="77777777" w:rsidTr="00113D91">
        <w:tc>
          <w:tcPr>
            <w:tcW w:w="8005" w:type="dxa"/>
          </w:tcPr>
          <w:p w14:paraId="7C6710C7" w14:textId="77777777" w:rsidR="00DE7AFC" w:rsidRPr="00A53AE6" w:rsidRDefault="00DE7AFC" w:rsidP="00DE7AFC">
            <w:pPr>
              <w:rPr>
                <w:rFonts w:ascii="Arial" w:hAnsi="Arial" w:cs="Arial"/>
                <w:sz w:val="20"/>
                <w:szCs w:val="20"/>
              </w:rPr>
            </w:pPr>
            <w:r>
              <w:rPr>
                <w:rFonts w:ascii="Arial" w:hAnsi="Arial" w:cs="Arial"/>
                <w:sz w:val="20"/>
                <w:szCs w:val="20"/>
                <w:lang w:val="es"/>
              </w:rPr>
              <w:t>Las citaciones judiciales emitidas por abogados, compañías de seguros u otros terceros solicitantes están sujetas a las siguientes tarifas:</w:t>
            </w:r>
          </w:p>
          <w:p w14:paraId="18FBAF76" w14:textId="5266E8DD" w:rsidR="00DE7AFC" w:rsidRPr="00A53AE6" w:rsidRDefault="00DE7AFC" w:rsidP="00DE7AFC">
            <w:pPr>
              <w:pStyle w:val="ListParagraph"/>
              <w:numPr>
                <w:ilvl w:val="0"/>
                <w:numId w:val="8"/>
              </w:numPr>
              <w:rPr>
                <w:rFonts w:ascii="Arial" w:hAnsi="Arial" w:cs="Arial"/>
                <w:b/>
                <w:bCs/>
                <w:sz w:val="20"/>
                <w:szCs w:val="20"/>
              </w:rPr>
            </w:pPr>
            <w:r>
              <w:rPr>
                <w:rFonts w:ascii="Arial" w:hAnsi="Arial" w:cs="Arial"/>
                <w:b/>
                <w:bCs/>
                <w:sz w:val="20"/>
                <w:szCs w:val="20"/>
                <w:lang w:val="es"/>
              </w:rPr>
              <w:t xml:space="preserve">$24 por hora para el cumplimiento de citaciones judiciales, con un mínimo de una hora por solicitud. </w:t>
            </w:r>
          </w:p>
          <w:p w14:paraId="0A86FD70" w14:textId="51004418" w:rsidR="00DE7AFC" w:rsidRPr="00A53AE6" w:rsidRDefault="00DE7AFC" w:rsidP="00DE7AFC">
            <w:pPr>
              <w:pStyle w:val="ListParagraph"/>
              <w:numPr>
                <w:ilvl w:val="0"/>
                <w:numId w:val="8"/>
              </w:numPr>
              <w:rPr>
                <w:rFonts w:ascii="Arial" w:hAnsi="Arial" w:cs="Arial"/>
                <w:sz w:val="20"/>
                <w:szCs w:val="20"/>
              </w:rPr>
            </w:pPr>
            <w:r>
              <w:rPr>
                <w:rFonts w:ascii="Arial" w:hAnsi="Arial" w:cs="Arial"/>
                <w:b/>
                <w:bCs/>
                <w:sz w:val="20"/>
                <w:szCs w:val="20"/>
                <w:lang w:val="es"/>
              </w:rPr>
              <w:t>Tarifa fija de $15 por envío.</w:t>
            </w:r>
            <w:r>
              <w:rPr>
                <w:rFonts w:ascii="Arial" w:hAnsi="Arial" w:cs="Arial"/>
                <w:sz w:val="20"/>
                <w:szCs w:val="20"/>
                <w:lang w:val="es"/>
              </w:rPr>
              <w:t xml:space="preserve"> </w:t>
            </w:r>
          </w:p>
          <w:p w14:paraId="36C8F451" w14:textId="77B574AC" w:rsidR="00DE7AFC" w:rsidRPr="00A53AE6" w:rsidRDefault="00DE7AFC" w:rsidP="00DE7AFC">
            <w:pPr>
              <w:rPr>
                <w:rFonts w:ascii="Arial" w:hAnsi="Arial" w:cs="Arial"/>
                <w:sz w:val="20"/>
                <w:szCs w:val="20"/>
              </w:rPr>
            </w:pPr>
            <w:r>
              <w:rPr>
                <w:rFonts w:ascii="Arial" w:hAnsi="Arial" w:cs="Arial"/>
                <w:sz w:val="20"/>
                <w:szCs w:val="20"/>
                <w:lang w:val="es"/>
              </w:rPr>
              <w:t>Todas las operaciones deben ser autorizadas por el cliente antes de su procesamiento.</w:t>
            </w:r>
          </w:p>
          <w:p w14:paraId="15839DA0" w14:textId="080D377E" w:rsidR="00DE7AFC" w:rsidRPr="00A53AE6" w:rsidRDefault="00DE7AFC" w:rsidP="00113D91">
            <w:pPr>
              <w:rPr>
                <w:rFonts w:ascii="Arial" w:hAnsi="Arial" w:cs="Arial"/>
                <w:sz w:val="20"/>
                <w:szCs w:val="20"/>
              </w:rPr>
            </w:pPr>
          </w:p>
        </w:tc>
        <w:tc>
          <w:tcPr>
            <w:tcW w:w="1345" w:type="dxa"/>
          </w:tcPr>
          <w:p w14:paraId="6AD27234" w14:textId="77777777" w:rsidR="00421EF8" w:rsidRDefault="00A60A5E" w:rsidP="00113D91">
            <w:pPr>
              <w:rPr>
                <w:rFonts w:ascii="Arial" w:hAnsi="Arial" w:cs="Arial"/>
                <w:b/>
                <w:sz w:val="20"/>
                <w:szCs w:val="20"/>
              </w:rPr>
            </w:pPr>
            <w:r>
              <w:rPr>
                <w:rFonts w:ascii="Arial" w:hAnsi="Arial" w:cs="Arial"/>
                <w:b/>
                <w:bCs/>
                <w:sz w:val="20"/>
                <w:szCs w:val="20"/>
                <w:lang w:val="es"/>
              </w:rPr>
              <w:t xml:space="preserve">$24.00 por hora más </w:t>
            </w:r>
          </w:p>
          <w:p w14:paraId="2188BE84" w14:textId="12413672" w:rsidR="00866C4E" w:rsidRPr="00A53AE6" w:rsidRDefault="00E815D6" w:rsidP="00113D91">
            <w:pPr>
              <w:rPr>
                <w:rFonts w:ascii="Arial" w:hAnsi="Arial" w:cs="Arial"/>
                <w:b/>
                <w:sz w:val="20"/>
                <w:szCs w:val="20"/>
              </w:rPr>
            </w:pPr>
            <w:r>
              <w:rPr>
                <w:rFonts w:ascii="Arial" w:hAnsi="Arial" w:cs="Arial"/>
                <w:b/>
                <w:bCs/>
                <w:sz w:val="20"/>
                <w:szCs w:val="20"/>
                <w:lang w:val="es"/>
              </w:rPr>
              <w:t>entrega por $15.00</w:t>
            </w:r>
          </w:p>
          <w:p w14:paraId="7542D2C5" w14:textId="160199B5" w:rsidR="00EC47C0" w:rsidRPr="00A53AE6" w:rsidRDefault="00EC47C0" w:rsidP="00EC47C0">
            <w:pPr>
              <w:tabs>
                <w:tab w:val="left" w:pos="930"/>
              </w:tabs>
              <w:rPr>
                <w:rFonts w:ascii="Arial" w:hAnsi="Arial" w:cs="Arial"/>
                <w:sz w:val="20"/>
                <w:szCs w:val="20"/>
              </w:rPr>
            </w:pPr>
            <w:r>
              <w:rPr>
                <w:lang w:val="es"/>
              </w:rPr>
              <w:tab/>
            </w:r>
          </w:p>
        </w:tc>
      </w:tr>
      <w:tr w:rsidR="00866C4E" w:rsidRPr="00A53AE6" w14:paraId="7DAEFECC" w14:textId="77777777" w:rsidTr="00113D91">
        <w:tc>
          <w:tcPr>
            <w:tcW w:w="8005" w:type="dxa"/>
          </w:tcPr>
          <w:p w14:paraId="343EA1C7" w14:textId="77777777" w:rsidR="00343D49" w:rsidRPr="00A53AE6" w:rsidRDefault="00251C77" w:rsidP="00113D91">
            <w:pPr>
              <w:rPr>
                <w:rFonts w:ascii="Arial" w:hAnsi="Arial" w:cs="Arial"/>
                <w:b/>
                <w:sz w:val="20"/>
                <w:szCs w:val="20"/>
              </w:rPr>
            </w:pPr>
            <w:r>
              <w:rPr>
                <w:rFonts w:ascii="Arial" w:hAnsi="Arial" w:cs="Arial"/>
                <w:b/>
                <w:bCs/>
                <w:sz w:val="20"/>
                <w:szCs w:val="20"/>
                <w:lang w:val="es"/>
              </w:rPr>
              <w:t xml:space="preserve">Citación judicial civil (revisión in situ) </w:t>
            </w:r>
          </w:p>
          <w:p w14:paraId="0BC78058" w14:textId="77777777" w:rsidR="000A3EC8" w:rsidRPr="00A53AE6" w:rsidRDefault="000A3EC8" w:rsidP="000A3EC8">
            <w:pPr>
              <w:rPr>
                <w:rStyle w:val="cf01"/>
                <w:sz w:val="20"/>
                <w:szCs w:val="20"/>
              </w:rPr>
            </w:pPr>
            <w:r>
              <w:rPr>
                <w:rStyle w:val="cf01"/>
                <w:sz w:val="20"/>
                <w:szCs w:val="20"/>
                <w:lang w:val="es"/>
              </w:rPr>
              <w:t>$24 por hora para el cumplimiento de citaciones judiciales, con un mínimo de una hora por solicitud.</w:t>
            </w:r>
          </w:p>
          <w:p w14:paraId="0DBC0B8D" w14:textId="52AA418C" w:rsidR="00193063" w:rsidRPr="00A53AE6" w:rsidRDefault="000A3EC8" w:rsidP="000A3EC8">
            <w:pPr>
              <w:rPr>
                <w:rStyle w:val="cf01"/>
                <w:sz w:val="20"/>
                <w:szCs w:val="20"/>
              </w:rPr>
            </w:pPr>
            <w:r>
              <w:rPr>
                <w:rStyle w:val="cf01"/>
                <w:b w:val="0"/>
                <w:bCs w:val="0"/>
                <w:sz w:val="20"/>
                <w:szCs w:val="20"/>
                <w:lang w:val="es"/>
              </w:rPr>
              <w:t>Esto incluye historiales médicos y/o registros de facturación.</w:t>
            </w:r>
          </w:p>
          <w:p w14:paraId="502CA897" w14:textId="0D4BAA08" w:rsidR="00866C4E" w:rsidRPr="00A53AE6" w:rsidRDefault="00866C4E" w:rsidP="00113D91">
            <w:pPr>
              <w:rPr>
                <w:rFonts w:ascii="Arial" w:hAnsi="Arial" w:cs="Arial"/>
                <w:sz w:val="20"/>
                <w:szCs w:val="20"/>
              </w:rPr>
            </w:pPr>
          </w:p>
        </w:tc>
        <w:tc>
          <w:tcPr>
            <w:tcW w:w="1345" w:type="dxa"/>
          </w:tcPr>
          <w:p w14:paraId="5C4C7EF2" w14:textId="62264CBC" w:rsidR="00866C4E" w:rsidRPr="00A53AE6" w:rsidRDefault="00A60A5E" w:rsidP="00113D91">
            <w:pPr>
              <w:rPr>
                <w:rFonts w:ascii="Arial" w:hAnsi="Arial" w:cs="Arial"/>
                <w:b/>
                <w:sz w:val="20"/>
                <w:szCs w:val="20"/>
              </w:rPr>
            </w:pPr>
            <w:r>
              <w:rPr>
                <w:rFonts w:ascii="Arial" w:hAnsi="Arial" w:cs="Arial"/>
                <w:b/>
                <w:bCs/>
                <w:sz w:val="20"/>
                <w:szCs w:val="20"/>
                <w:lang w:val="es"/>
              </w:rPr>
              <w:t>$24.00 por hora</w:t>
            </w:r>
          </w:p>
        </w:tc>
      </w:tr>
      <w:tr w:rsidR="00866C4E" w:rsidRPr="00A53AE6" w14:paraId="57396F70" w14:textId="77777777" w:rsidTr="00113D91">
        <w:tc>
          <w:tcPr>
            <w:tcW w:w="8005" w:type="dxa"/>
          </w:tcPr>
          <w:p w14:paraId="3D71E619" w14:textId="77777777" w:rsidR="00866C4E" w:rsidRPr="00A53AE6" w:rsidRDefault="00521608" w:rsidP="00113D91">
            <w:pPr>
              <w:rPr>
                <w:rFonts w:ascii="Arial" w:hAnsi="Arial" w:cs="Arial"/>
                <w:b/>
                <w:sz w:val="20"/>
                <w:szCs w:val="20"/>
              </w:rPr>
            </w:pPr>
            <w:r>
              <w:rPr>
                <w:rFonts w:ascii="Arial" w:hAnsi="Arial" w:cs="Arial"/>
                <w:b/>
                <w:bCs/>
                <w:sz w:val="20"/>
                <w:szCs w:val="20"/>
                <w:lang w:val="es"/>
              </w:rPr>
              <w:t>Citación judicial penal</w:t>
            </w:r>
            <w:r>
              <w:rPr>
                <w:rFonts w:ascii="Arial" w:hAnsi="Arial" w:cs="Arial"/>
                <w:sz w:val="20"/>
                <w:szCs w:val="20"/>
                <w:lang w:val="es"/>
              </w:rPr>
              <w:t xml:space="preserve"> (DBH no proporciona registros)</w:t>
            </w:r>
          </w:p>
        </w:tc>
        <w:tc>
          <w:tcPr>
            <w:tcW w:w="1345" w:type="dxa"/>
          </w:tcPr>
          <w:p w14:paraId="55952F03" w14:textId="77777777" w:rsidR="00866C4E" w:rsidRPr="00A53AE6" w:rsidRDefault="006B5B4F" w:rsidP="00113D91">
            <w:pPr>
              <w:rPr>
                <w:rFonts w:ascii="Arial" w:hAnsi="Arial" w:cs="Arial"/>
                <w:b/>
                <w:sz w:val="20"/>
                <w:szCs w:val="20"/>
              </w:rPr>
            </w:pPr>
            <w:r>
              <w:rPr>
                <w:rFonts w:ascii="Arial" w:hAnsi="Arial" w:cs="Arial"/>
                <w:b/>
                <w:bCs/>
                <w:sz w:val="20"/>
                <w:szCs w:val="20"/>
                <w:lang w:val="es"/>
              </w:rPr>
              <w:t xml:space="preserve">No corresponde </w:t>
            </w:r>
          </w:p>
        </w:tc>
      </w:tr>
      <w:tr w:rsidR="00BB0D13" w:rsidRPr="00A53AE6" w14:paraId="0C928763" w14:textId="77777777" w:rsidTr="00113D91">
        <w:tc>
          <w:tcPr>
            <w:tcW w:w="8005" w:type="dxa"/>
          </w:tcPr>
          <w:p w14:paraId="5175045D" w14:textId="6E290877" w:rsidR="00546FBD" w:rsidRPr="00A53AE6" w:rsidRDefault="00546FBD" w:rsidP="00113D91">
            <w:pPr>
              <w:rPr>
                <w:rFonts w:ascii="Arial" w:hAnsi="Arial" w:cs="Arial"/>
                <w:b/>
                <w:sz w:val="20"/>
                <w:szCs w:val="20"/>
              </w:rPr>
            </w:pPr>
            <w:r>
              <w:rPr>
                <w:rFonts w:ascii="Arial" w:hAnsi="Arial" w:cs="Arial"/>
                <w:b/>
                <w:bCs/>
                <w:sz w:val="20"/>
                <w:szCs w:val="20"/>
                <w:lang w:val="es"/>
              </w:rPr>
              <w:t>Apelaciones relacionadas con la elegibilidad para un programa de beneficios públicos, como Medi-Cal o los beneficios por discapacidad del Seguro Social.</w:t>
            </w:r>
          </w:p>
          <w:p w14:paraId="1135341D" w14:textId="28854211" w:rsidR="00BB0D13" w:rsidRPr="00A53AE6" w:rsidRDefault="00607318" w:rsidP="00113D91">
            <w:pPr>
              <w:jc w:val="both"/>
              <w:rPr>
                <w:rFonts w:ascii="Arial" w:hAnsi="Arial" w:cs="Arial"/>
                <w:b/>
                <w:sz w:val="20"/>
                <w:szCs w:val="20"/>
              </w:rPr>
            </w:pPr>
            <w:r>
              <w:rPr>
                <w:rFonts w:ascii="Arial" w:hAnsi="Arial" w:cs="Arial"/>
                <w:sz w:val="20"/>
                <w:szCs w:val="20"/>
                <w:lang w:val="es"/>
              </w:rPr>
              <w:t>Los clientes, antiguos clientes o sus representantes personales tienen derecho a una copia gratuita de las partes pertinentes del expediente del cliente necesarias para respaldar la solicitud de prestaciones.</w:t>
            </w:r>
          </w:p>
        </w:tc>
        <w:tc>
          <w:tcPr>
            <w:tcW w:w="1345" w:type="dxa"/>
          </w:tcPr>
          <w:p w14:paraId="411CE539" w14:textId="77777777" w:rsidR="00BB0D13" w:rsidRPr="00A53AE6" w:rsidRDefault="00BB0D13" w:rsidP="00113D91">
            <w:pPr>
              <w:rPr>
                <w:rFonts w:ascii="Arial" w:hAnsi="Arial" w:cs="Arial"/>
                <w:b/>
                <w:sz w:val="20"/>
                <w:szCs w:val="20"/>
              </w:rPr>
            </w:pPr>
            <w:r>
              <w:rPr>
                <w:rFonts w:ascii="Arial" w:hAnsi="Arial" w:cs="Arial"/>
                <w:b/>
                <w:bCs/>
                <w:sz w:val="20"/>
                <w:szCs w:val="20"/>
                <w:lang w:val="es"/>
              </w:rPr>
              <w:t xml:space="preserve">Sin cargo </w:t>
            </w:r>
          </w:p>
        </w:tc>
      </w:tr>
      <w:tr w:rsidR="005B59C9" w:rsidRPr="00A53AE6" w14:paraId="10ECB942" w14:textId="77777777" w:rsidTr="00113D91">
        <w:trPr>
          <w:trHeight w:val="50"/>
        </w:trPr>
        <w:tc>
          <w:tcPr>
            <w:tcW w:w="8005" w:type="dxa"/>
          </w:tcPr>
          <w:p w14:paraId="6C60A5F9" w14:textId="77777777" w:rsidR="005B59C9" w:rsidRPr="00A53AE6" w:rsidRDefault="00A974FE" w:rsidP="00113D91">
            <w:pPr>
              <w:rPr>
                <w:rFonts w:ascii="Arial" w:hAnsi="Arial" w:cs="Arial"/>
                <w:sz w:val="20"/>
                <w:szCs w:val="20"/>
              </w:rPr>
            </w:pPr>
            <w:r>
              <w:rPr>
                <w:rFonts w:ascii="Arial" w:hAnsi="Arial" w:cs="Arial"/>
                <w:b/>
                <w:bCs/>
                <w:sz w:val="20"/>
                <w:szCs w:val="20"/>
                <w:lang w:val="es"/>
              </w:rPr>
              <w:t>Notificación de Determinación Adversa de Beneficios (NOABD</w:t>
            </w:r>
            <w:r>
              <w:rPr>
                <w:rFonts w:ascii="Arial" w:hAnsi="Arial" w:cs="Arial"/>
                <w:sz w:val="20"/>
                <w:szCs w:val="20"/>
                <w:lang w:val="es"/>
              </w:rPr>
              <w:t xml:space="preserve">) </w:t>
            </w:r>
          </w:p>
          <w:p w14:paraId="52CC2676" w14:textId="65D5DA2C" w:rsidR="005B59C9" w:rsidRPr="00A53AE6" w:rsidRDefault="00A53AE6" w:rsidP="00113D91">
            <w:pPr>
              <w:jc w:val="both"/>
              <w:rPr>
                <w:rFonts w:ascii="Arial" w:hAnsi="Arial" w:cs="Arial"/>
                <w:sz w:val="20"/>
                <w:szCs w:val="20"/>
              </w:rPr>
            </w:pPr>
            <w:r>
              <w:rPr>
                <w:rFonts w:ascii="Arial" w:hAnsi="Arial" w:cs="Arial"/>
                <w:sz w:val="20"/>
                <w:szCs w:val="20"/>
                <w:lang w:val="es"/>
              </w:rPr>
              <w:t>Los clientes tienen derecho a una copia gratuita de los registros relacionados con el proceso de toma de decisiones para cada Notificación de Determinación Adversa de Beneficios (NOABD, por sus siglas en inglés) que se les emita.</w:t>
            </w:r>
          </w:p>
        </w:tc>
        <w:tc>
          <w:tcPr>
            <w:tcW w:w="1345" w:type="dxa"/>
          </w:tcPr>
          <w:p w14:paraId="7CEC5102" w14:textId="77777777" w:rsidR="005B59C9" w:rsidRPr="00A53AE6" w:rsidRDefault="005B59C9" w:rsidP="00113D91">
            <w:pPr>
              <w:rPr>
                <w:rFonts w:ascii="Arial" w:hAnsi="Arial" w:cs="Arial"/>
                <w:b/>
                <w:sz w:val="20"/>
                <w:szCs w:val="20"/>
              </w:rPr>
            </w:pPr>
            <w:r>
              <w:rPr>
                <w:rFonts w:ascii="Arial" w:hAnsi="Arial" w:cs="Arial"/>
                <w:b/>
                <w:bCs/>
                <w:sz w:val="20"/>
                <w:szCs w:val="20"/>
                <w:lang w:val="es"/>
              </w:rPr>
              <w:t>Sin cargo</w:t>
            </w:r>
          </w:p>
        </w:tc>
      </w:tr>
    </w:tbl>
    <w:p w14:paraId="648BD272" w14:textId="77777777" w:rsidR="00B6515A" w:rsidRPr="00A53AE6" w:rsidRDefault="00B6515A">
      <w:pPr>
        <w:rPr>
          <w:rFonts w:ascii="Arial" w:hAnsi="Arial" w:cs="Arial"/>
          <w:sz w:val="20"/>
          <w:szCs w:val="20"/>
        </w:rPr>
      </w:pPr>
    </w:p>
    <w:p w14:paraId="0386705D" w14:textId="77777777" w:rsidR="003B6728" w:rsidRPr="00A53AE6" w:rsidRDefault="003B6728" w:rsidP="001608C7">
      <w:pPr>
        <w:jc w:val="center"/>
        <w:rPr>
          <w:rFonts w:ascii="Arial" w:hAnsi="Arial" w:cs="Arial"/>
          <w:b/>
          <w:sz w:val="20"/>
          <w:szCs w:val="20"/>
        </w:rPr>
      </w:pPr>
    </w:p>
    <w:p w14:paraId="63154577" w14:textId="46C80C23" w:rsidR="00113D91" w:rsidRPr="00A53AE6" w:rsidRDefault="001608C7" w:rsidP="001608C7">
      <w:pPr>
        <w:jc w:val="center"/>
        <w:rPr>
          <w:rFonts w:ascii="Arial" w:hAnsi="Arial" w:cs="Arial"/>
          <w:b/>
          <w:sz w:val="20"/>
          <w:szCs w:val="20"/>
        </w:rPr>
      </w:pPr>
      <w:r>
        <w:rPr>
          <w:rFonts w:ascii="Arial" w:hAnsi="Arial" w:cs="Arial"/>
          <w:b/>
          <w:bCs/>
          <w:sz w:val="20"/>
          <w:szCs w:val="20"/>
          <w:lang w:val="es"/>
        </w:rPr>
        <w:t>Responsabilidad del procesamiento</w:t>
      </w:r>
    </w:p>
    <w:p w14:paraId="4216CF35" w14:textId="51231EB1" w:rsidR="001608C7" w:rsidRPr="00A53AE6" w:rsidRDefault="001608C7" w:rsidP="001608C7">
      <w:pPr>
        <w:jc w:val="both"/>
        <w:rPr>
          <w:rFonts w:ascii="Arial" w:hAnsi="Arial" w:cs="Arial"/>
          <w:sz w:val="20"/>
          <w:szCs w:val="20"/>
        </w:rPr>
      </w:pPr>
      <w:r>
        <w:rPr>
          <w:rFonts w:ascii="Arial" w:hAnsi="Arial" w:cs="Arial"/>
          <w:sz w:val="20"/>
          <w:szCs w:val="20"/>
          <w:lang w:val="es"/>
        </w:rPr>
        <w:t>Si la información sanitaria protegida solicitada se encuentra en un expediente ubicado en una clínica, la solicitud debe presentarse directamente al personal de la clínica para su procesamiento. Si la información de salud protegida solicitada se encuentra dentro de un expediente cerrado, comuníquese con la Unidad de Registros Médicos de DBH al (909) 421-9350 para su procesamiento. Se debe obtener una autorización válida para divulgar información de salud protegida, así como el pago correspondiente y una factura, según proceda.</w:t>
      </w:r>
    </w:p>
    <w:p w14:paraId="307C32EC" w14:textId="35E653F0" w:rsidR="003829BA" w:rsidRPr="00A53AE6" w:rsidRDefault="001608C7" w:rsidP="001608C7">
      <w:pPr>
        <w:jc w:val="both"/>
        <w:rPr>
          <w:rFonts w:ascii="Arial" w:hAnsi="Arial" w:cs="Arial"/>
          <w:sz w:val="20"/>
          <w:szCs w:val="20"/>
        </w:rPr>
      </w:pPr>
      <w:bookmarkStart w:id="0" w:name="_Hlk217973349"/>
      <w:r>
        <w:rPr>
          <w:rFonts w:ascii="Arial" w:hAnsi="Arial" w:cs="Arial"/>
          <w:sz w:val="20"/>
          <w:szCs w:val="20"/>
          <w:lang w:val="es"/>
        </w:rPr>
        <w:t xml:space="preserve">Puede consultar </w:t>
      </w:r>
      <w:bookmarkStart w:id="1" w:name="_Hlk97203212"/>
      <w:r>
        <w:rPr>
          <w:rFonts w:ascii="Arial" w:hAnsi="Arial" w:cs="Arial"/>
          <w:sz w:val="20"/>
          <w:szCs w:val="20"/>
          <w:lang w:val="es"/>
        </w:rPr>
        <w:t xml:space="preserve">la Sección de </w:t>
      </w:r>
      <w:r>
        <w:rPr>
          <w:rFonts w:ascii="Arial" w:hAnsi="Arial" w:cs="Arial"/>
          <w:i/>
          <w:iCs/>
          <w:sz w:val="20"/>
          <w:szCs w:val="20"/>
          <w:lang w:val="es"/>
        </w:rPr>
        <w:t>Salud conductual 16 0203 B</w:t>
      </w:r>
      <w:r>
        <w:rPr>
          <w:rFonts w:ascii="Arial" w:hAnsi="Arial" w:cs="Arial"/>
          <w:sz w:val="20"/>
          <w:szCs w:val="20"/>
          <w:lang w:val="es"/>
        </w:rPr>
        <w:t xml:space="preserve"> del Programa de Tarifas de la Ordenanza del Condado</w:t>
      </w:r>
      <w:bookmarkEnd w:id="1"/>
      <w:r>
        <w:rPr>
          <w:rFonts w:ascii="Arial" w:hAnsi="Arial" w:cs="Arial"/>
          <w:sz w:val="20"/>
          <w:szCs w:val="20"/>
          <w:lang w:val="es"/>
        </w:rPr>
        <w:t>,</w:t>
      </w:r>
      <w:bookmarkEnd w:id="0"/>
      <w:r>
        <w:rPr>
          <w:rFonts w:ascii="Arial" w:hAnsi="Arial" w:cs="Arial"/>
          <w:sz w:val="20"/>
          <w:szCs w:val="20"/>
          <w:lang w:val="es"/>
        </w:rPr>
        <w:t xml:space="preserve"> </w:t>
      </w:r>
      <w:r>
        <w:rPr>
          <w:rFonts w:ascii="Arial" w:hAnsi="Arial" w:cs="Arial"/>
          <w:i/>
          <w:iCs/>
          <w:sz w:val="20"/>
          <w:szCs w:val="20"/>
          <w:lang w:val="es"/>
        </w:rPr>
        <w:t>o visitar</w:t>
      </w:r>
      <w:r>
        <w:rPr>
          <w:rFonts w:ascii="Arial" w:hAnsi="Arial" w:cs="Arial"/>
          <w:sz w:val="20"/>
          <w:szCs w:val="20"/>
          <w:lang w:val="es"/>
        </w:rPr>
        <w:t xml:space="preserve"> </w:t>
      </w:r>
      <w:hyperlink r:id="rId8" w:history="1">
        <w:r>
          <w:rPr>
            <w:rStyle w:val="Hyperlink"/>
            <w:rFonts w:ascii="Arial" w:hAnsi="Arial" w:cs="Arial"/>
            <w:sz w:val="20"/>
            <w:szCs w:val="20"/>
            <w:lang w:val="es"/>
          </w:rPr>
          <w:t>https://wp.sbcounty.gov/dbh/</w:t>
        </w:r>
      </w:hyperlink>
      <w:r>
        <w:rPr>
          <w:rFonts w:ascii="Arial" w:hAnsi="Arial" w:cs="Arial"/>
          <w:sz w:val="20"/>
          <w:szCs w:val="20"/>
          <w:lang w:val="es"/>
        </w:rPr>
        <w:t xml:space="preserve"> para conocer las siguientes políticas y procedimientos del DBH:</w:t>
      </w:r>
    </w:p>
    <w:p w14:paraId="27BA54EA" w14:textId="77777777" w:rsidR="001608C7" w:rsidRPr="00A53AE6" w:rsidRDefault="001608C7" w:rsidP="003829BA">
      <w:pPr>
        <w:pStyle w:val="ListParagraph"/>
        <w:numPr>
          <w:ilvl w:val="0"/>
          <w:numId w:val="2"/>
        </w:numPr>
        <w:jc w:val="both"/>
        <w:rPr>
          <w:rFonts w:ascii="Arial" w:hAnsi="Arial" w:cs="Arial"/>
          <w:sz w:val="20"/>
          <w:szCs w:val="20"/>
        </w:rPr>
      </w:pPr>
      <w:r>
        <w:rPr>
          <w:rFonts w:ascii="Arial" w:hAnsi="Arial" w:cs="Arial"/>
          <w:sz w:val="20"/>
          <w:szCs w:val="20"/>
          <w:lang w:val="es"/>
        </w:rPr>
        <w:t>Política de seguridad de los registros médicos para servicios ambulatorios (COM0904)</w:t>
      </w:r>
    </w:p>
    <w:p w14:paraId="32585992" w14:textId="77777777" w:rsidR="001608C7" w:rsidRPr="00A53AE6" w:rsidRDefault="001608C7" w:rsidP="003829BA">
      <w:pPr>
        <w:pStyle w:val="ListParagraph"/>
        <w:numPr>
          <w:ilvl w:val="0"/>
          <w:numId w:val="2"/>
        </w:numPr>
        <w:jc w:val="both"/>
        <w:rPr>
          <w:rFonts w:ascii="Arial" w:hAnsi="Arial" w:cs="Arial"/>
          <w:sz w:val="20"/>
          <w:szCs w:val="20"/>
        </w:rPr>
      </w:pPr>
      <w:r>
        <w:rPr>
          <w:rFonts w:ascii="Arial" w:hAnsi="Arial" w:cs="Arial"/>
          <w:sz w:val="20"/>
          <w:szCs w:val="20"/>
          <w:lang w:val="es"/>
        </w:rPr>
        <w:t>Política de autorización para divulgar información de salud protegida (PHI) (COM0912)</w:t>
      </w:r>
    </w:p>
    <w:p w14:paraId="0270F13D" w14:textId="77777777" w:rsidR="001608C7" w:rsidRPr="00A53AE6" w:rsidRDefault="001608C7" w:rsidP="003829BA">
      <w:pPr>
        <w:pStyle w:val="ListParagraph"/>
        <w:numPr>
          <w:ilvl w:val="0"/>
          <w:numId w:val="2"/>
        </w:numPr>
        <w:jc w:val="both"/>
        <w:rPr>
          <w:rFonts w:ascii="Arial" w:hAnsi="Arial" w:cs="Arial"/>
          <w:sz w:val="20"/>
          <w:szCs w:val="20"/>
        </w:rPr>
      </w:pPr>
      <w:r>
        <w:rPr>
          <w:rFonts w:ascii="Arial" w:hAnsi="Arial" w:cs="Arial"/>
          <w:sz w:val="20"/>
          <w:szCs w:val="20"/>
          <w:lang w:val="es"/>
        </w:rPr>
        <w:t>Procedimiento de autorización para divulgar información de salud protegida (PHI) (COM0912 1)</w:t>
      </w:r>
    </w:p>
    <w:p w14:paraId="41E3514E" w14:textId="77777777" w:rsidR="001608C7" w:rsidRPr="00A53AE6" w:rsidRDefault="001608C7" w:rsidP="003829BA">
      <w:pPr>
        <w:pStyle w:val="ListParagraph"/>
        <w:numPr>
          <w:ilvl w:val="0"/>
          <w:numId w:val="2"/>
        </w:numPr>
        <w:jc w:val="both"/>
        <w:rPr>
          <w:rFonts w:ascii="Arial" w:hAnsi="Arial" w:cs="Arial"/>
          <w:sz w:val="20"/>
          <w:szCs w:val="20"/>
        </w:rPr>
      </w:pPr>
      <w:r>
        <w:rPr>
          <w:rFonts w:ascii="Arial" w:hAnsi="Arial" w:cs="Arial"/>
          <w:sz w:val="20"/>
          <w:szCs w:val="20"/>
          <w:lang w:val="es"/>
        </w:rPr>
        <w:t>Política de acceso y modificación de registros médicos (COM0931)</w:t>
      </w:r>
    </w:p>
    <w:p w14:paraId="48B2F441" w14:textId="77777777" w:rsidR="00926F10" w:rsidRPr="00A53AE6" w:rsidRDefault="001608C7" w:rsidP="003829BA">
      <w:pPr>
        <w:pStyle w:val="ListParagraph"/>
        <w:numPr>
          <w:ilvl w:val="0"/>
          <w:numId w:val="2"/>
        </w:numPr>
        <w:jc w:val="both"/>
        <w:rPr>
          <w:rFonts w:ascii="Arial" w:hAnsi="Arial" w:cs="Arial"/>
          <w:sz w:val="20"/>
          <w:szCs w:val="20"/>
        </w:rPr>
      </w:pPr>
      <w:r>
        <w:rPr>
          <w:rFonts w:ascii="Arial" w:hAnsi="Arial" w:cs="Arial"/>
          <w:sz w:val="20"/>
          <w:szCs w:val="20"/>
          <w:lang w:val="es"/>
        </w:rPr>
        <w:t>Procedimiento de acceso y modificación de expedientes médicos (COM0931-1)</w:t>
      </w:r>
    </w:p>
    <w:p w14:paraId="14514712" w14:textId="77777777" w:rsidR="008321E0" w:rsidRPr="00A53AE6" w:rsidRDefault="008321E0" w:rsidP="00113D91">
      <w:pPr>
        <w:pStyle w:val="ListParagraph"/>
        <w:ind w:left="0"/>
        <w:rPr>
          <w:rFonts w:ascii="Arial" w:hAnsi="Arial" w:cs="Arial"/>
          <w:sz w:val="20"/>
          <w:szCs w:val="20"/>
        </w:rPr>
      </w:pPr>
    </w:p>
    <w:p w14:paraId="6D516224" w14:textId="77777777" w:rsidR="00B96604" w:rsidRDefault="00B96604" w:rsidP="003B6728">
      <w:pPr>
        <w:pStyle w:val="ListParagraph"/>
        <w:ind w:left="0"/>
        <w:rPr>
          <w:rFonts w:ascii="Arial" w:hAnsi="Arial" w:cs="Arial"/>
          <w:sz w:val="20"/>
          <w:szCs w:val="20"/>
          <w:lang w:val="es"/>
        </w:rPr>
      </w:pPr>
    </w:p>
    <w:p w14:paraId="322CD41D" w14:textId="77777777" w:rsidR="00B96604" w:rsidRDefault="00B96604" w:rsidP="003B6728">
      <w:pPr>
        <w:pStyle w:val="ListParagraph"/>
        <w:ind w:left="0"/>
        <w:rPr>
          <w:rFonts w:ascii="Arial" w:hAnsi="Arial" w:cs="Arial"/>
          <w:sz w:val="20"/>
          <w:szCs w:val="20"/>
          <w:lang w:val="es"/>
        </w:rPr>
      </w:pPr>
    </w:p>
    <w:p w14:paraId="264380A5" w14:textId="77777777" w:rsidR="00B96604" w:rsidRDefault="00B96604" w:rsidP="003B6728">
      <w:pPr>
        <w:pStyle w:val="ListParagraph"/>
        <w:ind w:left="0"/>
        <w:rPr>
          <w:rFonts w:ascii="Arial" w:hAnsi="Arial" w:cs="Arial"/>
          <w:sz w:val="20"/>
          <w:szCs w:val="20"/>
          <w:lang w:val="es"/>
        </w:rPr>
      </w:pPr>
    </w:p>
    <w:p w14:paraId="6A68053E" w14:textId="77777777" w:rsidR="00B96604" w:rsidRDefault="00B96604" w:rsidP="003B6728">
      <w:pPr>
        <w:pStyle w:val="ListParagraph"/>
        <w:ind w:left="0"/>
        <w:rPr>
          <w:rFonts w:ascii="Arial" w:hAnsi="Arial" w:cs="Arial"/>
          <w:sz w:val="20"/>
          <w:szCs w:val="20"/>
          <w:lang w:val="es"/>
        </w:rPr>
      </w:pPr>
    </w:p>
    <w:p w14:paraId="2206944C" w14:textId="06AB083F" w:rsidR="003829BA" w:rsidRPr="00A53AE6" w:rsidRDefault="003829BA" w:rsidP="003B6728">
      <w:pPr>
        <w:pStyle w:val="ListParagraph"/>
        <w:ind w:left="0"/>
        <w:rPr>
          <w:rFonts w:ascii="Arial" w:hAnsi="Arial" w:cs="Arial"/>
          <w:sz w:val="20"/>
          <w:szCs w:val="20"/>
        </w:rPr>
      </w:pPr>
      <w:r>
        <w:rPr>
          <w:rFonts w:ascii="Arial" w:hAnsi="Arial" w:cs="Arial"/>
          <w:sz w:val="20"/>
          <w:szCs w:val="20"/>
          <w:lang w:val="es"/>
        </w:rPr>
        <w:t xml:space="preserve">Para obtener más información, llame al </w:t>
      </w:r>
      <w:r>
        <w:rPr>
          <w:rFonts w:ascii="Arial" w:hAnsi="Arial" w:cs="Arial"/>
          <w:b/>
          <w:bCs/>
          <w:sz w:val="20"/>
          <w:szCs w:val="20"/>
          <w:lang w:val="es"/>
        </w:rPr>
        <w:t>(909) 421-9350</w:t>
      </w:r>
      <w:r>
        <w:rPr>
          <w:rFonts w:ascii="Arial" w:hAnsi="Arial" w:cs="Arial"/>
          <w:sz w:val="20"/>
          <w:szCs w:val="20"/>
          <w:lang w:val="es"/>
        </w:rPr>
        <w:t xml:space="preserve"> (los usuarios de TTY deben marcar 7-1-1) o envíe un correo electrónico a DBH </w:t>
      </w:r>
      <w:hyperlink r:id="rId9" w:history="1">
        <w:r>
          <w:rPr>
            <w:rStyle w:val="Hyperlink"/>
            <w:rFonts w:ascii="Arial" w:hAnsi="Arial" w:cs="Arial"/>
            <w:sz w:val="20"/>
            <w:szCs w:val="20"/>
            <w:lang w:val="es"/>
          </w:rPr>
          <w:t>MedicalRecords@dbh.sbcounty.gov</w:t>
        </w:r>
      </w:hyperlink>
      <w:r>
        <w:rPr>
          <w:rFonts w:ascii="Arial" w:hAnsi="Arial" w:cs="Arial"/>
          <w:sz w:val="20"/>
          <w:szCs w:val="20"/>
          <w:lang w:val="es"/>
        </w:rPr>
        <w:t xml:space="preserve">. </w:t>
      </w:r>
    </w:p>
    <w:p w14:paraId="06FBB1E6" w14:textId="71E3AF46" w:rsidR="003829BA" w:rsidRPr="00A53AE6" w:rsidRDefault="003B6728" w:rsidP="003B6728">
      <w:pPr>
        <w:rPr>
          <w:rFonts w:ascii="Arial" w:hAnsi="Arial" w:cs="Arial"/>
          <w:sz w:val="20"/>
          <w:szCs w:val="20"/>
        </w:rPr>
      </w:pPr>
      <w:r>
        <w:rPr>
          <w:rFonts w:ascii="Arial" w:hAnsi="Arial" w:cs="Arial"/>
          <w:sz w:val="20"/>
          <w:szCs w:val="20"/>
          <w:lang w:val="es"/>
        </w:rPr>
        <w:t>Si habla otro idioma, puede obtener asistencia lingüística gratuita llamando al (888) 743-1478. Los usuarios de TTY deben marcar el 711. DBH cumple con las leyes federales de derechos civiles aplicables y no discrimina por motivos de raza, color, origen nacional, sexo, identidad de género, edad, discapacidad o incapacidad para hablar inglés (LEP).</w:t>
      </w:r>
    </w:p>
    <w:sectPr w:rsidR="003829BA" w:rsidRPr="00A53AE6">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A90B59" w14:textId="77777777" w:rsidR="00773B9B" w:rsidRDefault="00773B9B" w:rsidP="00157DA6">
      <w:pPr>
        <w:spacing w:after="0" w:line="240" w:lineRule="auto"/>
      </w:pPr>
      <w:r>
        <w:separator/>
      </w:r>
    </w:p>
  </w:endnote>
  <w:endnote w:type="continuationSeparator" w:id="0">
    <w:p w14:paraId="63562AC0" w14:textId="77777777" w:rsidR="00773B9B" w:rsidRDefault="00773B9B" w:rsidP="00157D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7DF79" w14:textId="77777777" w:rsidR="00157DA6" w:rsidRDefault="00170C45" w:rsidP="00170C45">
    <w:pPr>
      <w:pStyle w:val="Footer"/>
      <w:tabs>
        <w:tab w:val="clear" w:pos="4680"/>
        <w:tab w:val="clear" w:pos="9360"/>
        <w:tab w:val="left" w:pos="1940"/>
      </w:tabs>
    </w:pPr>
    <w:r>
      <w:rPr>
        <w:lang w:val="e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24DE0E" w14:textId="77777777" w:rsidR="00773B9B" w:rsidRDefault="00773B9B" w:rsidP="00157DA6">
      <w:pPr>
        <w:spacing w:after="0" w:line="240" w:lineRule="auto"/>
      </w:pPr>
      <w:r>
        <w:separator/>
      </w:r>
    </w:p>
  </w:footnote>
  <w:footnote w:type="continuationSeparator" w:id="0">
    <w:p w14:paraId="7CE0DC91" w14:textId="77777777" w:rsidR="00773B9B" w:rsidRDefault="00773B9B" w:rsidP="00157D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83816" w14:textId="17FE2735" w:rsidR="00157DA6" w:rsidRPr="000F214A" w:rsidRDefault="00773B9B" w:rsidP="00DC3D63">
    <w:pPr>
      <w:pStyle w:val="Header"/>
      <w:rPr>
        <w:rFonts w:ascii="Arial" w:hAnsi="Arial" w:cs="Arial"/>
        <w:b/>
        <w:color w:val="002060"/>
      </w:rPr>
    </w:pPr>
    <w:r>
      <w:rPr>
        <w:rFonts w:cs="Arial"/>
        <w:noProof/>
        <w:lang w:val="es"/>
      </w:rPr>
      <mc:AlternateContent>
        <mc:Choice Requires="wps">
          <w:drawing>
            <wp:anchor distT="45720" distB="45720" distL="114300" distR="114300" simplePos="0" relativeHeight="251656704" behindDoc="0" locked="0" layoutInCell="1" allowOverlap="1" wp14:anchorId="016234C3" wp14:editId="34B360B0">
              <wp:simplePos x="0" y="0"/>
              <wp:positionH relativeFrom="margin">
                <wp:align>right</wp:align>
              </wp:positionH>
              <wp:positionV relativeFrom="paragraph">
                <wp:posOffset>180975</wp:posOffset>
              </wp:positionV>
              <wp:extent cx="523875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8750" cy="1404620"/>
                      </a:xfrm>
                      <a:prstGeom prst="rect">
                        <a:avLst/>
                      </a:prstGeom>
                      <a:noFill/>
                      <a:ln w="9525">
                        <a:noFill/>
                        <a:miter lim="800000"/>
                        <a:headEnd/>
                        <a:tailEnd/>
                      </a:ln>
                    </wps:spPr>
                    <wps:txbx>
                      <w:txbxContent>
                        <w:p w14:paraId="19C94D4C" w14:textId="77777777" w:rsidR="00DC3D63" w:rsidRPr="00DC3D63" w:rsidRDefault="00DC3D63" w:rsidP="00D1098B">
                          <w:pPr>
                            <w:spacing w:after="0" w:line="240" w:lineRule="auto"/>
                            <w:jc w:val="center"/>
                            <w:rPr>
                              <w:rFonts w:ascii="Arial" w:hAnsi="Arial" w:cs="Arial"/>
                              <w:b/>
                              <w:color w:val="002060"/>
                            </w:rPr>
                          </w:pPr>
                          <w:r>
                            <w:rPr>
                              <w:rFonts w:ascii="Arial" w:hAnsi="Arial" w:cs="Arial"/>
                              <w:b/>
                              <w:bCs/>
                              <w:color w:val="002060"/>
                              <w:lang w:val="es"/>
                            </w:rPr>
                            <w:t>UNIDAD DE REGISTROS MÉDICOS</w:t>
                          </w:r>
                        </w:p>
                        <w:p w14:paraId="5AA718D0" w14:textId="77777777" w:rsidR="00DC3D63" w:rsidRPr="00DC3D63" w:rsidRDefault="00DC3D63" w:rsidP="003B6728">
                          <w:pPr>
                            <w:spacing w:after="0" w:line="240" w:lineRule="auto"/>
                            <w:rPr>
                              <w:rFonts w:ascii="Arial" w:hAnsi="Arial" w:cs="Arial"/>
                              <w:b/>
                              <w:color w:val="002060"/>
                            </w:rPr>
                          </w:pPr>
                          <w:r>
                            <w:rPr>
                              <w:rFonts w:ascii="Arial" w:hAnsi="Arial" w:cs="Arial"/>
                              <w:b/>
                              <w:bCs/>
                              <w:color w:val="002060"/>
                              <w:lang w:val="es"/>
                            </w:rPr>
                            <w:t>Tarifas para la divulgación autorizada de información de salud protegida (PHI)</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16234C3" id="_x0000_t202" coordsize="21600,21600" o:spt="202" path="m,l,21600r21600,l21600,xe">
              <v:stroke joinstyle="miter"/>
              <v:path gradientshapeok="t" o:connecttype="rect"/>
            </v:shapetype>
            <v:shape id="Text Box 2" o:spid="_x0000_s1026" type="#_x0000_t202" style="position:absolute;margin-left:361.3pt;margin-top:14.25pt;width:412.5pt;height:110.6pt;z-index:25165670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" filled="f" stroked="f">
              <v:textbox style="mso-fit-shape-to-text:t">
                <w:txbxContent>
                  <w:p w14:paraId="19C94D4C" w14:textId="77777777" w:rsidR="00DC3D63" w:rsidRPr="00DC3D63" w:rsidRDefault="00DC3D63" w:rsidP="00D1098B">
                    <w:pPr>
                      <w:spacing w:after="0" w:line="240" w:lineRule="auto"/>
                      <w:jc w:val="center"/>
                      <w:rPr>
                        <w:rFonts w:ascii="Arial" w:hAnsi="Arial" w:cs="Arial"/>
                        <w:b/>
                        <w:color w:val="002060"/>
                      </w:rPr>
                    </w:pPr>
                    <w:r>
                      <w:rPr>
                        <w:rFonts w:ascii="Arial" w:hAnsi="Arial" w:cs="Arial"/>
                        <w:b/>
                        <w:bCs/>
                        <w:color w:val="002060"/>
                        <w:lang w:val="es"/>
                      </w:rPr>
                      <w:t>UNIDAD DE REGISTROS MÉDICOS</w:t>
                    </w:r>
                  </w:p>
                  <w:p w14:paraId="5AA718D0" w14:textId="77777777" w:rsidR="00DC3D63" w:rsidRPr="00DC3D63" w:rsidRDefault="00DC3D63" w:rsidP="003B6728">
                    <w:pPr>
                      <w:spacing w:after="0" w:line="240" w:lineRule="auto"/>
                      <w:rPr>
                        <w:rFonts w:ascii="Arial" w:hAnsi="Arial" w:cs="Arial"/>
                        <w:b/>
                        <w:color w:val="002060"/>
                      </w:rPr>
                    </w:pPr>
                    <w:r>
                      <w:rPr>
                        <w:rFonts w:ascii="Arial" w:hAnsi="Arial" w:cs="Arial"/>
                        <w:b/>
                        <w:bCs/>
                        <w:color w:val="002060"/>
                        <w:lang w:val="es"/>
                      </w:rPr>
                      <w:t>Tarifas para la divulgación autorizada de información de salud protegida (PHI)</w:t>
                    </w:r>
                  </w:p>
                </w:txbxContent>
              </v:textbox>
              <w10:wrap type="square" anchorx="margin"/>
            </v:shape>
          </w:pict>
        </mc:Fallback>
      </mc:AlternateContent>
    </w:r>
    <w:r>
      <w:rPr>
        <w:rFonts w:ascii="Helvetica" w:hAnsi="Helvetica" w:cs="Arial"/>
        <w:noProof/>
        <w:color w:val="333333"/>
        <w:sz w:val="21"/>
        <w:szCs w:val="21"/>
        <w:lang w:val="es"/>
      </w:rPr>
      <w:drawing>
        <wp:anchor distT="0" distB="0" distL="114300" distR="114300" simplePos="0" relativeHeight="251657728" behindDoc="0" locked="0" layoutInCell="1" allowOverlap="1" wp14:anchorId="15841D79" wp14:editId="086B5C87">
          <wp:simplePos x="0" y="0"/>
          <wp:positionH relativeFrom="column">
            <wp:posOffset>-559558</wp:posOffset>
          </wp:positionH>
          <wp:positionV relativeFrom="paragraph">
            <wp:posOffset>-252427</wp:posOffset>
          </wp:positionV>
          <wp:extent cx="2299335" cy="572770"/>
          <wp:effectExtent l="0" t="0" r="5715" b="0"/>
          <wp:wrapThrough wrapText="bothSides">
            <wp:wrapPolygon edited="0">
              <wp:start x="358" y="0"/>
              <wp:lineTo x="0" y="2874"/>
              <wp:lineTo x="0" y="12931"/>
              <wp:lineTo x="1432" y="20834"/>
              <wp:lineTo x="1790" y="20834"/>
              <wp:lineTo x="11274" y="20834"/>
              <wp:lineTo x="21475" y="12931"/>
              <wp:lineTo x="21475" y="7902"/>
              <wp:lineTo x="11274" y="0"/>
              <wp:lineTo x="358" y="0"/>
            </wp:wrapPolygon>
          </wp:wrapThrough>
          <wp:docPr id="1" name="Picture 1" descr="a todo color transpar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ull color transparent"/>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99335" cy="57277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5769CF"/>
    <w:multiLevelType w:val="hybridMultilevel"/>
    <w:tmpl w:val="E1D43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7543E3"/>
    <w:multiLevelType w:val="hybridMultilevel"/>
    <w:tmpl w:val="9A2887BC"/>
    <w:lvl w:ilvl="0" w:tplc="74E86F7E">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4EE5161"/>
    <w:multiLevelType w:val="hybridMultilevel"/>
    <w:tmpl w:val="97C87A60"/>
    <w:lvl w:ilvl="0" w:tplc="50729D50">
      <w:start w:val="1"/>
      <w:numFmt w:val="bullet"/>
      <w:lvlText w:val=""/>
      <w:lvlJc w:val="left"/>
      <w:pPr>
        <w:ind w:left="1080" w:hanging="360"/>
      </w:pPr>
      <w:rPr>
        <w:rFonts w:ascii="Symbol" w:hAnsi="Symbol"/>
      </w:rPr>
    </w:lvl>
    <w:lvl w:ilvl="1" w:tplc="9E6410EC">
      <w:start w:val="1"/>
      <w:numFmt w:val="bullet"/>
      <w:lvlText w:val=""/>
      <w:lvlJc w:val="left"/>
      <w:pPr>
        <w:ind w:left="1080" w:hanging="360"/>
      </w:pPr>
      <w:rPr>
        <w:rFonts w:ascii="Symbol" w:hAnsi="Symbol"/>
      </w:rPr>
    </w:lvl>
    <w:lvl w:ilvl="2" w:tplc="6A9A0096">
      <w:start w:val="1"/>
      <w:numFmt w:val="bullet"/>
      <w:lvlText w:val=""/>
      <w:lvlJc w:val="left"/>
      <w:pPr>
        <w:ind w:left="1080" w:hanging="360"/>
      </w:pPr>
      <w:rPr>
        <w:rFonts w:ascii="Symbol" w:hAnsi="Symbol"/>
      </w:rPr>
    </w:lvl>
    <w:lvl w:ilvl="3" w:tplc="DE283C02">
      <w:start w:val="1"/>
      <w:numFmt w:val="bullet"/>
      <w:lvlText w:val=""/>
      <w:lvlJc w:val="left"/>
      <w:pPr>
        <w:ind w:left="1080" w:hanging="360"/>
      </w:pPr>
      <w:rPr>
        <w:rFonts w:ascii="Symbol" w:hAnsi="Symbol"/>
      </w:rPr>
    </w:lvl>
    <w:lvl w:ilvl="4" w:tplc="9ED00624">
      <w:start w:val="1"/>
      <w:numFmt w:val="bullet"/>
      <w:lvlText w:val=""/>
      <w:lvlJc w:val="left"/>
      <w:pPr>
        <w:ind w:left="1080" w:hanging="360"/>
      </w:pPr>
      <w:rPr>
        <w:rFonts w:ascii="Symbol" w:hAnsi="Symbol"/>
      </w:rPr>
    </w:lvl>
    <w:lvl w:ilvl="5" w:tplc="0036716A">
      <w:start w:val="1"/>
      <w:numFmt w:val="bullet"/>
      <w:lvlText w:val=""/>
      <w:lvlJc w:val="left"/>
      <w:pPr>
        <w:ind w:left="1080" w:hanging="360"/>
      </w:pPr>
      <w:rPr>
        <w:rFonts w:ascii="Symbol" w:hAnsi="Symbol"/>
      </w:rPr>
    </w:lvl>
    <w:lvl w:ilvl="6" w:tplc="6A90826A">
      <w:start w:val="1"/>
      <w:numFmt w:val="bullet"/>
      <w:lvlText w:val=""/>
      <w:lvlJc w:val="left"/>
      <w:pPr>
        <w:ind w:left="1080" w:hanging="360"/>
      </w:pPr>
      <w:rPr>
        <w:rFonts w:ascii="Symbol" w:hAnsi="Symbol"/>
      </w:rPr>
    </w:lvl>
    <w:lvl w:ilvl="7" w:tplc="9990D73E">
      <w:start w:val="1"/>
      <w:numFmt w:val="bullet"/>
      <w:lvlText w:val=""/>
      <w:lvlJc w:val="left"/>
      <w:pPr>
        <w:ind w:left="1080" w:hanging="360"/>
      </w:pPr>
      <w:rPr>
        <w:rFonts w:ascii="Symbol" w:hAnsi="Symbol"/>
      </w:rPr>
    </w:lvl>
    <w:lvl w:ilvl="8" w:tplc="F5F8DEF4">
      <w:start w:val="1"/>
      <w:numFmt w:val="bullet"/>
      <w:lvlText w:val=""/>
      <w:lvlJc w:val="left"/>
      <w:pPr>
        <w:ind w:left="1080" w:hanging="360"/>
      </w:pPr>
      <w:rPr>
        <w:rFonts w:ascii="Symbol" w:hAnsi="Symbol"/>
      </w:rPr>
    </w:lvl>
  </w:abstractNum>
  <w:abstractNum w:abstractNumId="3" w15:restartNumberingAfterBreak="0">
    <w:nsid w:val="46961BB0"/>
    <w:multiLevelType w:val="hybridMultilevel"/>
    <w:tmpl w:val="BFEA0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7EB2B2A"/>
    <w:multiLevelType w:val="hybridMultilevel"/>
    <w:tmpl w:val="6C8E1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F10293E"/>
    <w:multiLevelType w:val="hybridMultilevel"/>
    <w:tmpl w:val="E5382C4A"/>
    <w:lvl w:ilvl="0" w:tplc="74E86F7E">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5DB3E2C"/>
    <w:multiLevelType w:val="hybridMultilevel"/>
    <w:tmpl w:val="E2D809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5290701"/>
    <w:multiLevelType w:val="hybridMultilevel"/>
    <w:tmpl w:val="DC00654E"/>
    <w:lvl w:ilvl="0" w:tplc="74E86F7E">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42965798">
    <w:abstractNumId w:val="6"/>
  </w:num>
  <w:num w:numId="2" w16cid:durableId="668100421">
    <w:abstractNumId w:val="4"/>
  </w:num>
  <w:num w:numId="3" w16cid:durableId="1733429036">
    <w:abstractNumId w:val="3"/>
  </w:num>
  <w:num w:numId="4" w16cid:durableId="1586378242">
    <w:abstractNumId w:val="1"/>
  </w:num>
  <w:num w:numId="5" w16cid:durableId="489369942">
    <w:abstractNumId w:val="5"/>
  </w:num>
  <w:num w:numId="6" w16cid:durableId="2077127657">
    <w:abstractNumId w:val="7"/>
  </w:num>
  <w:num w:numId="7" w16cid:durableId="1474828133">
    <w:abstractNumId w:val="2"/>
  </w:num>
  <w:num w:numId="8" w16cid:durableId="16039950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6C4E"/>
    <w:rsid w:val="000068DC"/>
    <w:rsid w:val="00041976"/>
    <w:rsid w:val="00061C55"/>
    <w:rsid w:val="00085EC5"/>
    <w:rsid w:val="000920A9"/>
    <w:rsid w:val="000A0434"/>
    <w:rsid w:val="000A3EC8"/>
    <w:rsid w:val="000D0715"/>
    <w:rsid w:val="000D2E4A"/>
    <w:rsid w:val="000F214A"/>
    <w:rsid w:val="00106E46"/>
    <w:rsid w:val="0011007B"/>
    <w:rsid w:val="00111A61"/>
    <w:rsid w:val="00113D91"/>
    <w:rsid w:val="00157DA6"/>
    <w:rsid w:val="001608C7"/>
    <w:rsid w:val="00170C45"/>
    <w:rsid w:val="00193063"/>
    <w:rsid w:val="001A1566"/>
    <w:rsid w:val="001B0667"/>
    <w:rsid w:val="001D6A5C"/>
    <w:rsid w:val="001F0F20"/>
    <w:rsid w:val="001F32B0"/>
    <w:rsid w:val="001F3B02"/>
    <w:rsid w:val="001F5FD6"/>
    <w:rsid w:val="00200E15"/>
    <w:rsid w:val="00211499"/>
    <w:rsid w:val="00223C41"/>
    <w:rsid w:val="00251C77"/>
    <w:rsid w:val="0027728C"/>
    <w:rsid w:val="00282D95"/>
    <w:rsid w:val="002A4ABF"/>
    <w:rsid w:val="002D2FD8"/>
    <w:rsid w:val="002E1C7F"/>
    <w:rsid w:val="003062DE"/>
    <w:rsid w:val="00324C60"/>
    <w:rsid w:val="00336FC5"/>
    <w:rsid w:val="00343D49"/>
    <w:rsid w:val="003568B1"/>
    <w:rsid w:val="003829BA"/>
    <w:rsid w:val="003865D1"/>
    <w:rsid w:val="003B6728"/>
    <w:rsid w:val="003D39B7"/>
    <w:rsid w:val="003D5FCC"/>
    <w:rsid w:val="00404C63"/>
    <w:rsid w:val="004166BD"/>
    <w:rsid w:val="00421EF8"/>
    <w:rsid w:val="00430630"/>
    <w:rsid w:val="00497663"/>
    <w:rsid w:val="004F2DD4"/>
    <w:rsid w:val="005015C7"/>
    <w:rsid w:val="00504972"/>
    <w:rsid w:val="0051160C"/>
    <w:rsid w:val="00512A1A"/>
    <w:rsid w:val="00521608"/>
    <w:rsid w:val="00523F2B"/>
    <w:rsid w:val="00546FBD"/>
    <w:rsid w:val="0054758B"/>
    <w:rsid w:val="005647DB"/>
    <w:rsid w:val="005B49A7"/>
    <w:rsid w:val="005B59C9"/>
    <w:rsid w:val="005C72CD"/>
    <w:rsid w:val="005D1BF3"/>
    <w:rsid w:val="00607318"/>
    <w:rsid w:val="00635663"/>
    <w:rsid w:val="00667424"/>
    <w:rsid w:val="006B0AE8"/>
    <w:rsid w:val="006B5B4F"/>
    <w:rsid w:val="006E3A5B"/>
    <w:rsid w:val="006F1F53"/>
    <w:rsid w:val="007030D9"/>
    <w:rsid w:val="00711B81"/>
    <w:rsid w:val="007155C4"/>
    <w:rsid w:val="00735035"/>
    <w:rsid w:val="00773B9B"/>
    <w:rsid w:val="00775D77"/>
    <w:rsid w:val="007C6046"/>
    <w:rsid w:val="007D433A"/>
    <w:rsid w:val="007D5904"/>
    <w:rsid w:val="007D6F48"/>
    <w:rsid w:val="008321E0"/>
    <w:rsid w:val="00836886"/>
    <w:rsid w:val="00850C00"/>
    <w:rsid w:val="00866C4E"/>
    <w:rsid w:val="00874738"/>
    <w:rsid w:val="00876449"/>
    <w:rsid w:val="0089144F"/>
    <w:rsid w:val="00891F11"/>
    <w:rsid w:val="008A3F5A"/>
    <w:rsid w:val="008E08F2"/>
    <w:rsid w:val="00903EC6"/>
    <w:rsid w:val="009134DF"/>
    <w:rsid w:val="00926F10"/>
    <w:rsid w:val="00933B3B"/>
    <w:rsid w:val="00945A69"/>
    <w:rsid w:val="009531C2"/>
    <w:rsid w:val="00963F9E"/>
    <w:rsid w:val="009718D4"/>
    <w:rsid w:val="00985215"/>
    <w:rsid w:val="009A1241"/>
    <w:rsid w:val="009B6B39"/>
    <w:rsid w:val="009B72EE"/>
    <w:rsid w:val="009F615C"/>
    <w:rsid w:val="00A04B77"/>
    <w:rsid w:val="00A234DF"/>
    <w:rsid w:val="00A53AE6"/>
    <w:rsid w:val="00A556EC"/>
    <w:rsid w:val="00A60162"/>
    <w:rsid w:val="00A60A5E"/>
    <w:rsid w:val="00A64DBA"/>
    <w:rsid w:val="00A702E0"/>
    <w:rsid w:val="00A73BC0"/>
    <w:rsid w:val="00A74F65"/>
    <w:rsid w:val="00A974FE"/>
    <w:rsid w:val="00AA56BE"/>
    <w:rsid w:val="00AB35BD"/>
    <w:rsid w:val="00AE320F"/>
    <w:rsid w:val="00AF53CC"/>
    <w:rsid w:val="00B066DB"/>
    <w:rsid w:val="00B27E68"/>
    <w:rsid w:val="00B410EA"/>
    <w:rsid w:val="00B6515A"/>
    <w:rsid w:val="00B8434B"/>
    <w:rsid w:val="00B84F00"/>
    <w:rsid w:val="00B86DA8"/>
    <w:rsid w:val="00B96604"/>
    <w:rsid w:val="00BA5F92"/>
    <w:rsid w:val="00BB0D13"/>
    <w:rsid w:val="00BB279A"/>
    <w:rsid w:val="00BC7388"/>
    <w:rsid w:val="00BD08D7"/>
    <w:rsid w:val="00BE08F1"/>
    <w:rsid w:val="00BE104A"/>
    <w:rsid w:val="00BE519F"/>
    <w:rsid w:val="00BF3430"/>
    <w:rsid w:val="00BF5873"/>
    <w:rsid w:val="00C0250A"/>
    <w:rsid w:val="00C305AD"/>
    <w:rsid w:val="00C32215"/>
    <w:rsid w:val="00C5379A"/>
    <w:rsid w:val="00C610FA"/>
    <w:rsid w:val="00CA40AB"/>
    <w:rsid w:val="00CE057B"/>
    <w:rsid w:val="00CE49CC"/>
    <w:rsid w:val="00CF0667"/>
    <w:rsid w:val="00D1098B"/>
    <w:rsid w:val="00D26D65"/>
    <w:rsid w:val="00D274CA"/>
    <w:rsid w:val="00D51739"/>
    <w:rsid w:val="00D53D18"/>
    <w:rsid w:val="00D801BC"/>
    <w:rsid w:val="00DA36C5"/>
    <w:rsid w:val="00DC3D63"/>
    <w:rsid w:val="00DE7AFC"/>
    <w:rsid w:val="00E0474B"/>
    <w:rsid w:val="00E2760A"/>
    <w:rsid w:val="00E6456D"/>
    <w:rsid w:val="00E65C6F"/>
    <w:rsid w:val="00E71F37"/>
    <w:rsid w:val="00E815D6"/>
    <w:rsid w:val="00E85264"/>
    <w:rsid w:val="00E8666C"/>
    <w:rsid w:val="00E8711B"/>
    <w:rsid w:val="00EA5AA6"/>
    <w:rsid w:val="00EA6102"/>
    <w:rsid w:val="00EC47C0"/>
    <w:rsid w:val="00F1787B"/>
    <w:rsid w:val="00F30D1E"/>
    <w:rsid w:val="00F41E19"/>
    <w:rsid w:val="00F93403"/>
    <w:rsid w:val="00FA0D84"/>
    <w:rsid w:val="00FA4614"/>
    <w:rsid w:val="00FB04D4"/>
    <w:rsid w:val="00FB3ACC"/>
    <w:rsid w:val="00FE7B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46822B"/>
  <w15:chartTrackingRefBased/>
  <w15:docId w15:val="{F648F83F-125D-4AB7-9687-1CC0A2BFA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66C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71F37"/>
    <w:pPr>
      <w:ind w:left="720"/>
      <w:contextualSpacing/>
    </w:pPr>
  </w:style>
  <w:style w:type="character" w:styleId="Hyperlink">
    <w:name w:val="Hyperlink"/>
    <w:basedOn w:val="DefaultParagraphFont"/>
    <w:uiPriority w:val="99"/>
    <w:unhideWhenUsed/>
    <w:rsid w:val="000920A9"/>
    <w:rPr>
      <w:color w:val="0563C1" w:themeColor="hyperlink"/>
      <w:u w:val="single"/>
    </w:rPr>
  </w:style>
  <w:style w:type="paragraph" w:styleId="Header">
    <w:name w:val="header"/>
    <w:basedOn w:val="Normal"/>
    <w:link w:val="HeaderChar"/>
    <w:uiPriority w:val="99"/>
    <w:unhideWhenUsed/>
    <w:rsid w:val="00157DA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57DA6"/>
  </w:style>
  <w:style w:type="paragraph" w:styleId="Footer">
    <w:name w:val="footer"/>
    <w:basedOn w:val="Normal"/>
    <w:link w:val="FooterChar"/>
    <w:uiPriority w:val="99"/>
    <w:unhideWhenUsed/>
    <w:rsid w:val="00157DA6"/>
    <w:pPr>
      <w:tabs>
        <w:tab w:val="center" w:pos="4680"/>
        <w:tab w:val="right" w:pos="9360"/>
      </w:tabs>
      <w:spacing w:after="0" w:line="240" w:lineRule="auto"/>
    </w:pPr>
  </w:style>
  <w:style w:type="character" w:customStyle="1" w:styleId="FooterChar">
    <w:name w:val="Footer Char"/>
    <w:basedOn w:val="DefaultParagraphFont"/>
    <w:link w:val="Footer"/>
    <w:uiPriority w:val="99"/>
    <w:rsid w:val="00157DA6"/>
  </w:style>
  <w:style w:type="character" w:styleId="FollowedHyperlink">
    <w:name w:val="FollowedHyperlink"/>
    <w:basedOn w:val="DefaultParagraphFont"/>
    <w:uiPriority w:val="99"/>
    <w:semiHidden/>
    <w:unhideWhenUsed/>
    <w:rsid w:val="00B6515A"/>
    <w:rPr>
      <w:color w:val="954F72" w:themeColor="followedHyperlink"/>
      <w:u w:val="single"/>
    </w:rPr>
  </w:style>
  <w:style w:type="paragraph" w:styleId="BalloonText">
    <w:name w:val="Balloon Text"/>
    <w:basedOn w:val="Normal"/>
    <w:link w:val="BalloonTextChar"/>
    <w:uiPriority w:val="99"/>
    <w:semiHidden/>
    <w:unhideWhenUsed/>
    <w:rsid w:val="00113D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3D91"/>
    <w:rPr>
      <w:rFonts w:ascii="Segoe UI" w:hAnsi="Segoe UI" w:cs="Segoe UI"/>
      <w:sz w:val="18"/>
      <w:szCs w:val="18"/>
    </w:rPr>
  </w:style>
  <w:style w:type="character" w:customStyle="1" w:styleId="UnresolvedMention1">
    <w:name w:val="Unresolved Mention1"/>
    <w:basedOn w:val="DefaultParagraphFont"/>
    <w:uiPriority w:val="99"/>
    <w:semiHidden/>
    <w:unhideWhenUsed/>
    <w:rsid w:val="001608C7"/>
    <w:rPr>
      <w:color w:val="605E5C"/>
      <w:shd w:val="clear" w:color="auto" w:fill="E1DFDD"/>
    </w:rPr>
  </w:style>
  <w:style w:type="character" w:styleId="CommentReference">
    <w:name w:val="annotation reference"/>
    <w:basedOn w:val="DefaultParagraphFont"/>
    <w:uiPriority w:val="99"/>
    <w:semiHidden/>
    <w:unhideWhenUsed/>
    <w:rsid w:val="00F1787B"/>
    <w:rPr>
      <w:sz w:val="16"/>
      <w:szCs w:val="16"/>
    </w:rPr>
  </w:style>
  <w:style w:type="paragraph" w:styleId="CommentText">
    <w:name w:val="annotation text"/>
    <w:basedOn w:val="Normal"/>
    <w:link w:val="CommentTextChar"/>
    <w:uiPriority w:val="99"/>
    <w:unhideWhenUsed/>
    <w:rsid w:val="00F1787B"/>
    <w:pPr>
      <w:spacing w:line="240" w:lineRule="auto"/>
    </w:pPr>
    <w:rPr>
      <w:sz w:val="20"/>
      <w:szCs w:val="20"/>
    </w:rPr>
  </w:style>
  <w:style w:type="character" w:customStyle="1" w:styleId="CommentTextChar">
    <w:name w:val="Comment Text Char"/>
    <w:basedOn w:val="DefaultParagraphFont"/>
    <w:link w:val="CommentText"/>
    <w:uiPriority w:val="99"/>
    <w:rsid w:val="00F1787B"/>
    <w:rPr>
      <w:sz w:val="20"/>
      <w:szCs w:val="20"/>
    </w:rPr>
  </w:style>
  <w:style w:type="paragraph" w:styleId="CommentSubject">
    <w:name w:val="annotation subject"/>
    <w:basedOn w:val="CommentText"/>
    <w:next w:val="CommentText"/>
    <w:link w:val="CommentSubjectChar"/>
    <w:uiPriority w:val="99"/>
    <w:semiHidden/>
    <w:unhideWhenUsed/>
    <w:rsid w:val="00F1787B"/>
    <w:rPr>
      <w:b/>
      <w:bCs/>
    </w:rPr>
  </w:style>
  <w:style w:type="character" w:customStyle="1" w:styleId="CommentSubjectChar">
    <w:name w:val="Comment Subject Char"/>
    <w:basedOn w:val="CommentTextChar"/>
    <w:link w:val="CommentSubject"/>
    <w:uiPriority w:val="99"/>
    <w:semiHidden/>
    <w:rsid w:val="00F1787B"/>
    <w:rPr>
      <w:b/>
      <w:bCs/>
      <w:sz w:val="20"/>
      <w:szCs w:val="20"/>
    </w:rPr>
  </w:style>
  <w:style w:type="character" w:styleId="UnresolvedMention">
    <w:name w:val="Unresolved Mention"/>
    <w:basedOn w:val="DefaultParagraphFont"/>
    <w:uiPriority w:val="99"/>
    <w:semiHidden/>
    <w:unhideWhenUsed/>
    <w:rsid w:val="003B6728"/>
    <w:rPr>
      <w:color w:val="605E5C"/>
      <w:shd w:val="clear" w:color="auto" w:fill="E1DFDD"/>
    </w:rPr>
  </w:style>
  <w:style w:type="paragraph" w:styleId="Revision">
    <w:name w:val="Revision"/>
    <w:hidden/>
    <w:uiPriority w:val="99"/>
    <w:semiHidden/>
    <w:rsid w:val="00E815D6"/>
    <w:pPr>
      <w:spacing w:after="0" w:line="240" w:lineRule="auto"/>
    </w:pPr>
  </w:style>
  <w:style w:type="character" w:customStyle="1" w:styleId="cf01">
    <w:name w:val="cf01"/>
    <w:basedOn w:val="DefaultParagraphFont"/>
    <w:rsid w:val="00404C63"/>
    <w:rPr>
      <w:rFonts w:ascii="Segoe UI" w:hAnsi="Segoe UI" w:cs="Segoe UI" w:hint="default"/>
      <w:b/>
      <w:bCs/>
      <w:sz w:val="18"/>
      <w:szCs w:val="18"/>
    </w:rPr>
  </w:style>
  <w:style w:type="character" w:customStyle="1" w:styleId="cf11">
    <w:name w:val="cf11"/>
    <w:basedOn w:val="DefaultParagraphFont"/>
    <w:rsid w:val="00404C63"/>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p.sbcounty.gov/dbh/"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edicalRecords@dbh.sbcounty.go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E65E1B-2F8A-478A-8163-F6EE38E20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524</Words>
  <Characters>2991</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Washington, Loretta DBH</dc:creator>
  <cp:keywords/>
  <dc:description/>
  <cp:lastModifiedBy>Washington, Loretta DBH</cp:lastModifiedBy>
  <cp:revision>4</cp:revision>
  <cp:lastPrinted>2025-12-30T16:20:00Z</cp:lastPrinted>
  <dcterms:created xsi:type="dcterms:W3CDTF">2026-06-29T21:46:00Z</dcterms:created>
  <dcterms:modified xsi:type="dcterms:W3CDTF">2026-07-01T20:44:00Z</dcterms:modified>
</cp:coreProperties>
</file>