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CE2A8" w14:textId="77777777" w:rsidR="00DD5747" w:rsidRPr="004714A2" w:rsidRDefault="00DD5747">
      <w:pPr>
        <w:pStyle w:val="Textoindependiente"/>
        <w:kinsoku w:val="0"/>
        <w:overflowPunct w:val="0"/>
        <w:spacing w:before="76"/>
        <w:ind w:left="360"/>
        <w:rPr>
          <w:spacing w:val="-2"/>
          <w:lang w:val="es-MX"/>
        </w:rPr>
      </w:pPr>
      <w:r>
        <w:rPr>
          <w:lang w:val="es"/>
        </w:rPr>
        <w:t>Para los planes de salud mental y los planes de los condados del Sistema de entrega organizada de medicamentos de Medi-Cal (DMC-ODS)</w:t>
      </w:r>
    </w:p>
    <w:p w14:paraId="23300F7D" w14:textId="628D53F8" w:rsidR="00DD5747" w:rsidRPr="004714A2" w:rsidRDefault="00DD5747">
      <w:pPr>
        <w:pStyle w:val="Textoindependiente"/>
        <w:kinsoku w:val="0"/>
        <w:overflowPunct w:val="0"/>
        <w:rPr>
          <w:sz w:val="10"/>
          <w:szCs w:val="10"/>
          <w:lang w:val="es-MX"/>
        </w:rPr>
      </w:pPr>
    </w:p>
    <w:p w14:paraId="05CEFAB1" w14:textId="665DAC4A" w:rsidR="00DD5747" w:rsidRDefault="00BC5013">
      <w:pPr>
        <w:pStyle w:val="Textoindependiente"/>
        <w:kinsoku w:val="0"/>
        <w:overflowPunct w:val="0"/>
        <w:spacing w:before="182"/>
      </w:pPr>
      <w:r w:rsidRPr="00F311EF">
        <w:rPr>
          <w:rFonts w:ascii="Times New Roman" w:hAnsi="Times New Roman" w:cs="Times New Roman"/>
          <w:b/>
          <w:bCs/>
          <w:noProof/>
          <w:position w:val="8"/>
          <w:sz w:val="20"/>
          <w:szCs w:val="20"/>
          <w:lang w:eastAsia="zh-CN"/>
        </w:rPr>
        <mc:AlternateContent>
          <mc:Choice Requires="wps">
            <w:drawing>
              <wp:inline distT="0" distB="0" distL="0" distR="0" wp14:anchorId="32A77D5B" wp14:editId="46923500">
                <wp:extent cx="6372225" cy="723900"/>
                <wp:effectExtent l="0" t="0" r="9525" b="0"/>
                <wp:docPr id="3" name="Cuadro de texto 3"/>
                <wp:cNvGraphicFramePr/>
                <a:graphic xmlns:a="http://schemas.openxmlformats.org/drawingml/2006/main">
                  <a:graphicData uri="http://schemas.microsoft.com/office/word/2010/wordprocessingShape">
                    <wps:wsp>
                      <wps:cNvSpPr txBox="1"/>
                      <wps:spPr>
                        <a:xfrm>
                          <a:off x="0" y="0"/>
                          <a:ext cx="6372225" cy="723900"/>
                        </a:xfrm>
                        <a:prstGeom prst="rect">
                          <a:avLst/>
                        </a:prstGeom>
                        <a:noFill/>
                        <a:ln w="6350">
                          <a:noFill/>
                        </a:ln>
                      </wps:spPr>
                      <wps:txbx>
                        <w:txbxContent>
                          <w:p w14:paraId="01498F34" w14:textId="77777777" w:rsidR="007A1741" w:rsidRPr="004714A2" w:rsidRDefault="007A1741" w:rsidP="007A1741">
                            <w:pPr>
                              <w:ind w:right="67"/>
                              <w:jc w:val="right"/>
                              <w:rPr>
                                <w:b/>
                                <w:bCs/>
                                <w:i/>
                                <w:iCs/>
                                <w:color w:val="FFFFFF" w:themeColor="background1"/>
                                <w:w w:val="120"/>
                                <w:sz w:val="48"/>
                                <w:szCs w:val="48"/>
                                <w:lang w:val="es-MX"/>
                                <w14:textOutline w14:w="9525" w14:cap="rnd" w14:cmpd="sng" w14:algn="ctr">
                                  <w14:solidFill>
                                    <w14:schemeClr w14:val="tx1"/>
                                  </w14:solidFill>
                                  <w14:prstDash w14:val="solid"/>
                                  <w14:bevel/>
                                </w14:textOutline>
                              </w:rPr>
                            </w:pPr>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“Sus derechos” del Aviso de resolución de apelación (</w:t>
                            </w:r>
                            <w:proofErr w:type="spellStart"/>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NAR</w:t>
                            </w:r>
                            <w:proofErr w:type="spellEnd"/>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w:t>
                            </w:r>
                          </w:p>
                          <w:p w14:paraId="1154340E" w14:textId="103BEADD" w:rsidR="00BC5013" w:rsidRPr="002036D5" w:rsidRDefault="007A1741" w:rsidP="007A1741">
                            <w:pPr>
                              <w:ind w:right="67"/>
                              <w:jc w:val="right"/>
                              <w:rPr>
                                <w:b/>
                                <w:bCs/>
                                <w:i/>
                                <w:iCs/>
                                <w:color w:val="FFFFFF" w:themeColor="background1"/>
                                <w:w w:val="120"/>
                                <w:sz w:val="48"/>
                                <w:szCs w:val="48"/>
                                <w:lang w:val="en-GB"/>
                                <w14:textOutline w14:w="9525" w14:cap="rnd" w14:cmpd="sng" w14:algn="ctr">
                                  <w14:solidFill>
                                    <w14:schemeClr w14:val="tx1"/>
                                  </w14:solidFill>
                                  <w14:prstDash w14:val="solid"/>
                                  <w14:bevel/>
                                </w14:textOutline>
                              </w:rPr>
                            </w:pPr>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 xml:space="preserve"> </w:t>
                            </w:r>
                            <w:proofErr w:type="spellStart"/>
                            <w:r w:rsidRPr="007A1741">
                              <w:rPr>
                                <w:b/>
                                <w:bCs/>
                                <w:i/>
                                <w:iCs/>
                                <w:color w:val="FFFFFF" w:themeColor="background1"/>
                                <w:w w:val="120"/>
                                <w:sz w:val="48"/>
                                <w:szCs w:val="48"/>
                                <w14:textOutline w14:w="9525" w14:cap="rnd" w14:cmpd="sng" w14:algn="ctr">
                                  <w14:solidFill>
                                    <w14:schemeClr w14:val="tx1"/>
                                  </w14:solidFill>
                                  <w14:prstDash w14:val="solid"/>
                                  <w14:bevel/>
                                </w14:textOutline>
                              </w:rPr>
                              <w:t>resolución</w:t>
                            </w:r>
                            <w:proofErr w:type="spellEnd"/>
                            <w:r w:rsidRPr="007A1741">
                              <w:rPr>
                                <w:b/>
                                <w:bCs/>
                                <w:i/>
                                <w:iCs/>
                                <w:color w:val="FFFFFF" w:themeColor="background1"/>
                                <w:w w:val="120"/>
                                <w:sz w:val="48"/>
                                <w:szCs w:val="48"/>
                                <w14:textOutline w14:w="9525" w14:cap="rnd" w14:cmpd="sng" w14:algn="ctr">
                                  <w14:solidFill>
                                    <w14:schemeClr w14:val="tx1"/>
                                  </w14:solidFill>
                                  <w14:prstDash w14:val="solid"/>
                                  <w14:bevel/>
                                </w14:textOutline>
                              </w:rPr>
                              <w:t xml:space="preserve"> de </w:t>
                            </w:r>
                            <w:proofErr w:type="spellStart"/>
                            <w:r w:rsidRPr="007A1741">
                              <w:rPr>
                                <w:b/>
                                <w:bCs/>
                                <w:i/>
                                <w:iCs/>
                                <w:color w:val="FFFFFF" w:themeColor="background1"/>
                                <w:w w:val="120"/>
                                <w:sz w:val="48"/>
                                <w:szCs w:val="48"/>
                                <w14:textOutline w14:w="9525" w14:cap="rnd" w14:cmpd="sng" w14:algn="ctr">
                                  <w14:solidFill>
                                    <w14:schemeClr w14:val="tx1"/>
                                  </w14:solidFill>
                                  <w14:prstDash w14:val="solid"/>
                                  <w14:bevel/>
                                </w14:textOutline>
                              </w:rPr>
                              <w:t>apelación</w:t>
                            </w:r>
                            <w:proofErr w:type="spellEnd"/>
                            <w:r w:rsidRPr="007A1741">
                              <w:rPr>
                                <w:b/>
                                <w:bCs/>
                                <w:i/>
                                <w:iCs/>
                                <w:color w:val="FFFFFF" w:themeColor="background1"/>
                                <w:w w:val="120"/>
                                <w:sz w:val="48"/>
                                <w:szCs w:val="48"/>
                                <w14:textOutline w14:w="9525" w14:cap="rnd" w14:cmpd="sng" w14:algn="ctr">
                                  <w14:solidFill>
                                    <w14:schemeClr w14:val="tx1"/>
                                  </w14:solidFill>
                                  <w14:prstDash w14:val="solid"/>
                                  <w14:bevel/>
                                </w14:textOutline>
                              </w:rPr>
                              <w:t xml:space="preserve"> (NAR)</w:t>
                            </w:r>
                          </w:p>
                        </w:txbxContent>
                      </wps:txbx>
                      <wps:bodyPr rot="0" spcFirstLastPara="0" vertOverflow="overflow" horzOverflow="overflow" vert="horz" wrap="square" lIns="18000" tIns="18000" rIns="18000" bIns="18000" numCol="1" spcCol="0" rtlCol="0" fromWordArt="0" anchor="t" anchorCtr="0" forceAA="0" compatLnSpc="1">
                        <a:prstTxWarp prst="textNoShape">
                          <a:avLst/>
                        </a:prstTxWarp>
                        <a:noAutofit/>
                      </wps:bodyPr>
                    </wps:wsp>
                  </a:graphicData>
                </a:graphic>
              </wp:inline>
            </w:drawing>
          </mc:Choice>
          <mc:Fallback>
            <w:pict>
              <v:shapetype w14:anchorId="32A77D5B" id="_x0000_t202" coordsize="21600,21600" o:spt="202" path="m,l,21600r21600,l21600,xe">
                <v:stroke joinstyle="miter"/>
                <v:path gradientshapeok="t" o:connecttype="rect"/>
              </v:shapetype>
              <v:shape id="Cuadro de texto 3" o:spid="_x0000_s1026" type="#_x0000_t202" style="width:501.7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F4LgIAAFgEAAAOAAAAZHJzL2Uyb0RvYy54bWysVE1v2zAMvQ/YfxB0X+w46JcRp8hSZBhQ&#10;tAXSoWdFlmIDkqhJSuzs14+SnTTodhp2kUmRIvXeozy/77UiB+F8C6ai00lOiTAc6tbsKvrjdf3l&#10;lhIfmKmZAiMqehSe3i8+f5p3thQFNKBq4QgWMb7sbEWbEGyZZZ43QjM/ASsMBiU4zQK6bpfVjnVY&#10;XausyPPrrANXWwdceI+7D0OQLlJ9KQUPz1J6EYiqKN4tpNWldRvXbDFn5c4x27R8vAb7h1to1hps&#10;ei71wAIje9f+UUq33IEHGSYcdAZStlwkDIhmmn9As2mYFQkLkuPtmSb//8ryp8OLI21d0RklhmmU&#10;aLVntQNSCxJEH4DMIkmd9SXmbixmh/4r9Cj2ad/jZsTeS6fjF1ERjCPdxzPFWIlw3Lye3RRFcUUJ&#10;x9hNMbvLkwbZ+2nrfPgmQJNoVNShhIlZdnj0AW+CqaeU2MzAulUqyagM6WKHqzwdOEfwhDJ4MGIY&#10;7hqt0G/7EdgW6iPicjCMh7d83WLzR+bDC3M4DwgFZzw84yIVYBMYLUoacL/+th/zUSaMUtLhfFXU&#10;/9wzJyhR3w0KOL3NEToJl467dLaXjtnrFeAIT/E1WZ5MPOyCOpnSgX7Dp7CMXTHEDMfeFQ0ncxWG&#10;qcenxMVymZJwBC0Lj2ZjeSwd6YzUvvZvzNmR/zgDT3CaRFZ+kGHIHYRY7gPINmkUCR5YHXnH8U3S&#10;jU8tvo9LP2W9/xAWvwEAAP//AwBQSwMEFAAGAAgAAAAhAPXwmofbAAAABgEAAA8AAABkcnMvZG93&#10;bnJldi54bWxMj8FOwzAQRO9I/QdrkbhRuwVaFOJUVSPghKoWPsCJlyRgryPbScPf43Ipl9WsZjXz&#10;Nt9M1rARfegcSVjMBTCk2umOGgkf78+3j8BCVKSVcYQSfjDApphd5SrT7kQHHI+xYSmEQqYktDH2&#10;GeehbtGqMHc9UvI+nbcqptU3XHt1SuHW8KUQK25VR6mhVT3uWqy/j4OVMLzuX/o3/rU323Ln7Xos&#10;19VQSnlzPW2fgEWc4uUYzvgJHYrEVLmBdGBGQnok/s2zJ8TdA7AqqcW9AF7k/D9+8QsAAP//AwBQ&#10;SwECLQAUAAYACAAAACEAtoM4kv4AAADhAQAAEwAAAAAAAAAAAAAAAAAAAAAAW0NvbnRlbnRfVHlw&#10;ZXNdLnhtbFBLAQItABQABgAIAAAAIQA4/SH/1gAAAJQBAAALAAAAAAAAAAAAAAAAAC8BAABfcmVs&#10;cy8ucmVsc1BLAQItABQABgAIAAAAIQCi/7F4LgIAAFgEAAAOAAAAAAAAAAAAAAAAAC4CAABkcnMv&#10;ZTJvRG9jLnhtbFBLAQItABQABgAIAAAAIQD18JqH2wAAAAYBAAAPAAAAAAAAAAAAAAAAAIgEAABk&#10;cnMvZG93bnJldi54bWxQSwUGAAAAAAQABADzAAAAkAUAAAAA&#10;" filled="f" stroked="f" strokeweight=".5pt">
                <v:textbox inset=".5mm,.5mm,.5mm,.5mm">
                  <w:txbxContent>
                    <w:p w14:paraId="01498F34" w14:textId="77777777" w:rsidR="007A1741" w:rsidRPr="004714A2" w:rsidRDefault="007A1741" w:rsidP="007A1741">
                      <w:pPr>
                        <w:ind w:right="67"/>
                        <w:jc w:val="right"/>
                        <w:rPr>
                          <w:b/>
                          <w:bCs/>
                          <w:i/>
                          <w:iCs/>
                          <w:color w:val="FFFFFF" w:themeColor="background1"/>
                          <w:w w:val="120"/>
                          <w:sz w:val="48"/>
                          <w:szCs w:val="48"/>
                          <w:lang w:val="es-MX"/>
                          <w14:textOutline w14:w="9525" w14:cap="rnd" w14:cmpd="sng" w14:algn="ctr">
                            <w14:solidFill>
                              <w14:schemeClr w14:val="tx1"/>
                            </w14:solidFill>
                            <w14:prstDash w14:val="solid"/>
                            <w14:bevel/>
                          </w14:textOutline>
                        </w:rPr>
                      </w:pPr>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“Sus derechos” del Aviso de resolución de apelación (</w:t>
                      </w:r>
                      <w:proofErr w:type="spellStart"/>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NAR</w:t>
                      </w:r>
                      <w:proofErr w:type="spellEnd"/>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w:t>
                      </w:r>
                    </w:p>
                    <w:p w14:paraId="1154340E" w14:textId="103BEADD" w:rsidR="00BC5013" w:rsidRPr="002036D5" w:rsidRDefault="007A1741" w:rsidP="007A1741">
                      <w:pPr>
                        <w:ind w:right="67"/>
                        <w:jc w:val="right"/>
                        <w:rPr>
                          <w:b/>
                          <w:bCs/>
                          <w:i/>
                          <w:iCs/>
                          <w:color w:val="FFFFFF" w:themeColor="background1"/>
                          <w:w w:val="120"/>
                          <w:sz w:val="48"/>
                          <w:szCs w:val="48"/>
                          <w:lang w:val="en-GB"/>
                          <w14:textOutline w14:w="9525" w14:cap="rnd" w14:cmpd="sng" w14:algn="ctr">
                            <w14:solidFill>
                              <w14:schemeClr w14:val="tx1"/>
                            </w14:solidFill>
                            <w14:prstDash w14:val="solid"/>
                            <w14:bevel/>
                          </w14:textOutline>
                        </w:rPr>
                      </w:pPr>
                      <w:r w:rsidRPr="004714A2">
                        <w:rPr>
                          <w:b/>
                          <w:bCs/>
                          <w:i/>
                          <w:iCs/>
                          <w:color w:val="FFFFFF" w:themeColor="background1"/>
                          <w:w w:val="120"/>
                          <w:sz w:val="48"/>
                          <w:szCs w:val="48"/>
                          <w:lang w:val="es-MX"/>
                          <w14:textOutline w14:w="9525" w14:cap="rnd" w14:cmpd="sng" w14:algn="ctr">
                            <w14:solidFill>
                              <w14:schemeClr w14:val="tx1"/>
                            </w14:solidFill>
                            <w14:prstDash w14:val="solid"/>
                            <w14:bevel/>
                          </w14:textOutline>
                        </w:rPr>
                        <w:t xml:space="preserve"> </w:t>
                      </w:r>
                      <w:proofErr w:type="spellStart"/>
                      <w:r w:rsidRPr="007A1741">
                        <w:rPr>
                          <w:b/>
                          <w:bCs/>
                          <w:i/>
                          <w:iCs/>
                          <w:color w:val="FFFFFF" w:themeColor="background1"/>
                          <w:w w:val="120"/>
                          <w:sz w:val="48"/>
                          <w:szCs w:val="48"/>
                          <w14:textOutline w14:w="9525" w14:cap="rnd" w14:cmpd="sng" w14:algn="ctr">
                            <w14:solidFill>
                              <w14:schemeClr w14:val="tx1"/>
                            </w14:solidFill>
                            <w14:prstDash w14:val="solid"/>
                            <w14:bevel/>
                          </w14:textOutline>
                        </w:rPr>
                        <w:t>resolución</w:t>
                      </w:r>
                      <w:proofErr w:type="spellEnd"/>
                      <w:r w:rsidRPr="007A1741">
                        <w:rPr>
                          <w:b/>
                          <w:bCs/>
                          <w:i/>
                          <w:iCs/>
                          <w:color w:val="FFFFFF" w:themeColor="background1"/>
                          <w:w w:val="120"/>
                          <w:sz w:val="48"/>
                          <w:szCs w:val="48"/>
                          <w14:textOutline w14:w="9525" w14:cap="rnd" w14:cmpd="sng" w14:algn="ctr">
                            <w14:solidFill>
                              <w14:schemeClr w14:val="tx1"/>
                            </w14:solidFill>
                            <w14:prstDash w14:val="solid"/>
                            <w14:bevel/>
                          </w14:textOutline>
                        </w:rPr>
                        <w:t xml:space="preserve"> de </w:t>
                      </w:r>
                      <w:proofErr w:type="spellStart"/>
                      <w:r w:rsidRPr="007A1741">
                        <w:rPr>
                          <w:b/>
                          <w:bCs/>
                          <w:i/>
                          <w:iCs/>
                          <w:color w:val="FFFFFF" w:themeColor="background1"/>
                          <w:w w:val="120"/>
                          <w:sz w:val="48"/>
                          <w:szCs w:val="48"/>
                          <w14:textOutline w14:w="9525" w14:cap="rnd" w14:cmpd="sng" w14:algn="ctr">
                            <w14:solidFill>
                              <w14:schemeClr w14:val="tx1"/>
                            </w14:solidFill>
                            <w14:prstDash w14:val="solid"/>
                            <w14:bevel/>
                          </w14:textOutline>
                        </w:rPr>
                        <w:t>apelación</w:t>
                      </w:r>
                      <w:proofErr w:type="spellEnd"/>
                      <w:r w:rsidRPr="007A1741">
                        <w:rPr>
                          <w:b/>
                          <w:bCs/>
                          <w:i/>
                          <w:iCs/>
                          <w:color w:val="FFFFFF" w:themeColor="background1"/>
                          <w:w w:val="120"/>
                          <w:sz w:val="48"/>
                          <w:szCs w:val="48"/>
                          <w14:textOutline w14:w="9525" w14:cap="rnd" w14:cmpd="sng" w14:algn="ctr">
                            <w14:solidFill>
                              <w14:schemeClr w14:val="tx1"/>
                            </w14:solidFill>
                            <w14:prstDash w14:val="solid"/>
                            <w14:bevel/>
                          </w14:textOutline>
                        </w:rPr>
                        <w:t xml:space="preserve"> (NAR)</w:t>
                      </w:r>
                    </w:p>
                  </w:txbxContent>
                </v:textbox>
                <w10:anchorlock/>
              </v:shape>
            </w:pict>
          </mc:Fallback>
        </mc:AlternateContent>
      </w:r>
    </w:p>
    <w:p w14:paraId="59A58030" w14:textId="77777777" w:rsidR="00BC5013" w:rsidRDefault="00BC5013">
      <w:pPr>
        <w:pStyle w:val="Textoindependiente"/>
        <w:kinsoku w:val="0"/>
        <w:overflowPunct w:val="0"/>
        <w:spacing w:before="182"/>
      </w:pPr>
    </w:p>
    <w:p w14:paraId="70740854" w14:textId="77777777" w:rsidR="00DD5747" w:rsidRPr="004714A2" w:rsidRDefault="00DD5747" w:rsidP="00BC5013">
      <w:pPr>
        <w:pStyle w:val="Textoindependiente"/>
        <w:kinsoku w:val="0"/>
        <w:overflowPunct w:val="0"/>
        <w:spacing w:after="3"/>
        <w:ind w:left="4111"/>
        <w:rPr>
          <w:b/>
          <w:bCs/>
          <w:spacing w:val="-5"/>
          <w:lang w:val="es-MX"/>
        </w:rPr>
      </w:pPr>
      <w:r>
        <w:rPr>
          <w:b/>
          <w:bCs/>
          <w:lang w:val="es"/>
        </w:rPr>
        <w:t xml:space="preserve">SUS DERECHOS COMO MIEMBRO DE </w:t>
      </w:r>
      <w:proofErr w:type="spellStart"/>
      <w:r>
        <w:rPr>
          <w:b/>
          <w:bCs/>
          <w:lang w:val="es"/>
        </w:rPr>
        <w:t>MEDI</w:t>
      </w:r>
      <w:proofErr w:type="spellEnd"/>
      <w:r>
        <w:rPr>
          <w:b/>
          <w:bCs/>
          <w:lang w:val="es"/>
        </w:rPr>
        <w:t>-CAL</w:t>
      </w:r>
    </w:p>
    <w:p w14:paraId="2E7068EA" w14:textId="49E7E135" w:rsidR="00DD5747" w:rsidRDefault="00267BEA">
      <w:pPr>
        <w:pStyle w:val="Textoindependiente"/>
        <w:kinsoku w:val="0"/>
        <w:overflowPunct w:val="0"/>
        <w:spacing w:line="43" w:lineRule="exact"/>
        <w:ind w:left="331"/>
        <w:rPr>
          <w:position w:val="-1"/>
          <w:sz w:val="4"/>
          <w:szCs w:val="4"/>
        </w:rPr>
      </w:pPr>
      <w:r>
        <w:rPr>
          <w:noProof/>
          <w:sz w:val="4"/>
          <w:szCs w:val="4"/>
          <w:lang w:eastAsia="zh-CN"/>
        </w:rPr>
        <mc:AlternateContent>
          <mc:Choice Requires="wpg">
            <w:drawing>
              <wp:inline distT="0" distB="0" distL="0" distR="0" wp14:anchorId="07BF2C48" wp14:editId="3EE09CB0">
                <wp:extent cx="5981065" cy="27940"/>
                <wp:effectExtent l="635" t="0" r="0" b="1270"/>
                <wp:docPr id="70390507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34714250" name="Freeform 29"/>
                        <wps:cNvSpPr>
                          <a:spLocks/>
                        </wps:cNvSpPr>
                        <wps:spPr bwMode="auto">
                          <a:xfrm>
                            <a:off x="0" y="0"/>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8D4945D" id="Group 28"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EyLwMAAIwIAAAOAAAAZHJzL2Uyb0RvYy54bWykVm1P2zAQ/j5p/8Hyx0kjTZtSGpGiCQaa&#10;xDYk2A9wHedFS2LPdpuyX787OwlpKQixfojPvif38tzl3POLXV2RrdCmlE1Cw5MJJaLhMi2bPKG/&#10;Hq4/n1FiLGtSVslGJPRRGHqx+vjhvFWxmMpCVqnQBIw0Jm5VQgtrVRwEhheiZuZEKtGAMpO6Zha2&#10;Og9SzVqwXlfBdDI5DVqpU6UlF8bA6ZVX0pWzn2WC259ZZoQlVUIhNuue2j3X+AxW5yzONVNFybsw&#10;2DuiqFnZgNPB1BWzjGx0+cxUXXItjczsCZd1ILOs5MLlANmEk4NsbrTcKJdLHre5GmgCag94erdZ&#10;/mN7o9W9utM+ehBvJf9tgJegVXk81uM+92Cybr/LFOrJNla6xHeZrtEEpER2jt/HgV+xs4TD4Xx5&#10;Fk5O55Rw0E0Xy6jjnxdQpGdv8eJr994yCpf+pSjCigUs9u5ciF1IWHLoIfNEk/k/mu4LpoRj3yAN&#10;d5qUKbT4LFqE0XQOzdSwGhi41kJgf5LpEmPDIADdM2rGdI40CDPA+vuIfJEQFvONsTdCulqw7a2x&#10;vsNTkFyF0y7sB0ggqyto9k8BQXukdUv3RQywcASbkIL4CkCjD4jpHuK4ldke5piVaA9x3Ap0zhBy&#10;NDsazOkI8kpWixHsBUswuAZnr1iCxhxgT/xAh+Y95azoq8B3TVcGkAjDETlxH4+SBtsfawJfxkPY&#10;NTmgsGYvgIF3BM/eBAZ6ETx/ExhIRPDiTWDgCcGu+SFtF7Nfu1w1DOHD8aspgfG7RgcsVswiRb1I&#10;2oT6Bi8SCu2G57XcigfpEBaZ8nrw6yYIuHsCVM0Y6BntUb2uX5Uz5jFRT2Sv7FcPGjy+FXfok1fS&#10;CMgXgsWEB8FljoSNPlwjqzK9LqsKMzY6X19WmmwZ3mHu1xVmD1a5Xmkkvubd4AlMSD9o/GRay/QR&#10;ho6W/iKEixuEQuq/lLRwCSbU/NkwLSipvjUwPpdhBDOaWLeJ5ospbPRYsx5rWMPBVEIthd5G8dL6&#10;m3ajdJkX4Cl0xWzkF7g1shJHk4vPR9VtYII7yV15IO3dqeO9Qz39iVj9AwAA//8DAFBLAwQUAAYA&#10;CAAAACEAW+39DtwAAAADAQAADwAAAGRycy9kb3ducmV2LnhtbEyPQWvCQBCF7wX/wzJCb3UTm5Ya&#10;sxER25MUqoXibcyOSTA7G7JrEv99t720l4HHe7z3TbYaTSN66lxtWUE8i0AQF1bXXCr4PLw+vIBw&#10;HlljY5kU3MjBKp/cZZhqO/AH9XtfilDCLkUFlfdtKqUrKjLoZrYlDt7ZdgZ9kF0pdYdDKDeNnEfR&#10;szRYc1iosKVNRcVlfzUK3gYc1o/xtt9dzpvb8fD0/rWLSan76bhegvA0+r8w/OAHdMgD08leWTvR&#10;KAiP+N8bvEUSL0CcFCQJyDyT/9nzbwAAAP//AwBQSwECLQAUAAYACAAAACEAtoM4kv4AAADhAQAA&#10;EwAAAAAAAAAAAAAAAAAAAAAAW0NvbnRlbnRfVHlwZXNdLnhtbFBLAQItABQABgAIAAAAIQA4/SH/&#10;1gAAAJQBAAALAAAAAAAAAAAAAAAAAC8BAABfcmVscy8ucmVsc1BLAQItABQABgAIAAAAIQBvcsEy&#10;LwMAAIwIAAAOAAAAAAAAAAAAAAAAAC4CAABkcnMvZTJvRG9jLnhtbFBLAQItABQABgAIAAAAIQBb&#10;7f0O3AAAAAMBAAAPAAAAAAAAAAAAAAAAAIkFAABkcnMvZG93bnJldi54bWxQSwUGAAAAAAQABADz&#10;AAAAkgYAAAAA&#10;">
                <v:shape id="Freeform 29" o:spid="_x0000_s1027" style="position:absolute;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wixgAAAOIAAAAPAAAAZHJzL2Rvd25yZXYueG1sRE/LSsNA&#10;FN0L/YfhFtyInfRlNXZaxAcILoqxH3DJXJOQzJ0wMybp33sXgsvDee+Pk+vUQCE2ng0sFxko4tLb&#10;hisD56+323tQMSFb7DyTgQtFOB5mV3vMrR/5k4YiVUpCOOZooE6pz7WOZU0O48L3xMJ9++AwCQyV&#10;tgFHCXedXmXZnXbYsDTU2NNzTWVb/DgDZVy/BDq9Du24e2iL7OPmciYy5no+PT2CSjSlf/Gf+93K&#10;/PVmt9ystnJCLgkGffgFAAD//wMAUEsBAi0AFAAGAAgAAAAhANvh9svuAAAAhQEAABMAAAAAAAAA&#10;AAAAAAAAAAAAAFtDb250ZW50X1R5cGVzXS54bWxQSwECLQAUAAYACAAAACEAWvQsW78AAAAVAQAA&#10;CwAAAAAAAAAAAAAAAAAfAQAAX3JlbHMvLnJlbHNQSwECLQAUAAYACAAAACEAFmcsIsYAAADiAAAA&#10;DwAAAAAAAAAAAAAAAAAHAgAAZHJzL2Rvd25yZXYueG1sUEsFBgAAAAADAAMAtwAAAPoCAAAAAA==&#10;" path="m9419,l,,,43r9419,l9419,xe" fillcolor="black" stroked="f">
                  <v:path arrowok="t" o:connecttype="custom" o:connectlocs="9419,0;0,0;0,43;9419,43;9419,0" o:connectangles="0,0,0,0,0"/>
                </v:shape>
                <w10:anchorlock/>
              </v:group>
            </w:pict>
          </mc:Fallback>
        </mc:AlternateContent>
      </w:r>
    </w:p>
    <w:p w14:paraId="2975B027" w14:textId="77777777" w:rsidR="00DD5747" w:rsidRDefault="00DD5747">
      <w:pPr>
        <w:pStyle w:val="Textoindependiente"/>
        <w:kinsoku w:val="0"/>
        <w:overflowPunct w:val="0"/>
        <w:spacing w:before="155"/>
        <w:rPr>
          <w:b/>
          <w:bCs/>
          <w:sz w:val="36"/>
          <w:szCs w:val="36"/>
        </w:rPr>
      </w:pPr>
    </w:p>
    <w:p w14:paraId="22F38529" w14:textId="2D59FCB5" w:rsidR="00DD5747" w:rsidRPr="004714A2" w:rsidRDefault="00DD5747">
      <w:pPr>
        <w:pStyle w:val="Ttulo1"/>
        <w:kinsoku w:val="0"/>
        <w:overflowPunct w:val="0"/>
        <w:rPr>
          <w:lang w:val="es-MX"/>
        </w:rPr>
      </w:pPr>
      <w:r>
        <w:rPr>
          <w:lang w:val="es"/>
        </w:rPr>
        <w:t xml:space="preserve">Si necesita acceder a este aviso o a otros documentos del plan en un formato de comunicación alternativo, como letra grande, braille o formato digital, o si desea recibir ayuda para leer el material, llame a la Unidad de Acceso del Departamento de Salud Mental del Condado de San Bernardino (DBH) al 1 (888) 743-1478. </w:t>
      </w:r>
    </w:p>
    <w:p w14:paraId="73484A30" w14:textId="77777777" w:rsidR="00DD5747" w:rsidRPr="004714A2" w:rsidRDefault="00DD5747">
      <w:pPr>
        <w:pStyle w:val="Textoindependiente"/>
        <w:kinsoku w:val="0"/>
        <w:overflowPunct w:val="0"/>
        <w:spacing w:before="283" w:line="237" w:lineRule="auto"/>
        <w:ind w:left="360" w:right="413"/>
        <w:rPr>
          <w:lang w:val="es-MX"/>
        </w:rPr>
      </w:pPr>
      <w:r>
        <w:rPr>
          <w:lang w:val="es"/>
        </w:rPr>
        <w:t xml:space="preserve">Si sigue sin estar de acuerdo con la decisión del plan, puede solicitar una </w:t>
      </w:r>
      <w:r>
        <w:rPr>
          <w:b/>
          <w:bCs/>
          <w:lang w:val="es"/>
        </w:rPr>
        <w:t>audiencia estatal</w:t>
      </w:r>
      <w:r>
        <w:rPr>
          <w:lang w:val="es"/>
        </w:rPr>
        <w:t xml:space="preserve"> para que un juez revise su caso.</w:t>
      </w:r>
    </w:p>
    <w:p w14:paraId="3752FA8A" w14:textId="77777777" w:rsidR="00DD5747" w:rsidRPr="004714A2" w:rsidRDefault="00DD5747">
      <w:pPr>
        <w:pStyle w:val="Textoindependiente"/>
        <w:kinsoku w:val="0"/>
        <w:overflowPunct w:val="0"/>
        <w:spacing w:before="1"/>
        <w:rPr>
          <w:lang w:val="es-MX"/>
        </w:rPr>
      </w:pPr>
    </w:p>
    <w:p w14:paraId="05625794" w14:textId="77777777" w:rsidR="00DD5747" w:rsidRPr="004714A2" w:rsidRDefault="00DD5747">
      <w:pPr>
        <w:pStyle w:val="Textoindependiente"/>
        <w:kinsoku w:val="0"/>
        <w:overflowPunct w:val="0"/>
        <w:ind w:left="360" w:right="413"/>
        <w:rPr>
          <w:lang w:val="es-MX"/>
        </w:rPr>
      </w:pPr>
      <w:r>
        <w:rPr>
          <w:lang w:val="es"/>
        </w:rPr>
        <w:t xml:space="preserve">La audiencia estatal debe solicitarse dentro de los </w:t>
      </w:r>
      <w:r>
        <w:rPr>
          <w:b/>
          <w:bCs/>
          <w:u w:val="single"/>
          <w:lang w:val="es"/>
        </w:rPr>
        <w:t>120 días</w:t>
      </w:r>
      <w:r>
        <w:rPr>
          <w:lang w:val="es"/>
        </w:rPr>
        <w:t xml:space="preserve"> posteriores a la fecha de esta carta. Si el plan siguió brindando el tratamiento en disputa durante el proceso de apelación, tiene derecho a solicitar al plan que siga ofreciendo ese tratamiento hasta que se tome una decisión en la audiencia estatal. </w:t>
      </w:r>
      <w:r>
        <w:rPr>
          <w:b/>
          <w:bCs/>
          <w:lang w:val="es"/>
        </w:rPr>
        <w:t xml:space="preserve">Si actualmente recibe tratamiento y desea seguir recibiéndolo durante el proceso de apelación, debe solicitar una audiencia estatal dentro de los </w:t>
      </w:r>
      <w:r>
        <w:rPr>
          <w:b/>
          <w:bCs/>
          <w:u w:val="single"/>
          <w:lang w:val="es"/>
        </w:rPr>
        <w:t>10 días</w:t>
      </w:r>
      <w:r>
        <w:rPr>
          <w:lang w:val="es"/>
        </w:rPr>
        <w:t xml:space="preserve"> posteriores a la fecha del matasellos de esta carta o a la fecha de entrega de esta.</w:t>
      </w:r>
    </w:p>
    <w:p w14:paraId="28C67B45" w14:textId="77777777" w:rsidR="00DD5747" w:rsidRPr="004714A2" w:rsidRDefault="00DD5747">
      <w:pPr>
        <w:pStyle w:val="Textoindependiente"/>
        <w:kinsoku w:val="0"/>
        <w:overflowPunct w:val="0"/>
        <w:ind w:left="360" w:right="413"/>
        <w:rPr>
          <w:lang w:val="es-MX"/>
        </w:rPr>
      </w:pPr>
      <w:r>
        <w:rPr>
          <w:lang w:val="es"/>
        </w:rPr>
        <w:t>Cuando solicita una audiencia estatal, debe aclarar que desea seguir recibiendo el tratamiento. No será responsable del costo de la continuidad del tratamiento si la decisión de la audiencia estatal confirma la determinación adversa de beneficios del plan. No deberá pagar por la audiencia estatal.</w:t>
      </w:r>
    </w:p>
    <w:p w14:paraId="6173C9E0" w14:textId="77777777" w:rsidR="00DD5747" w:rsidRPr="004714A2" w:rsidRDefault="00DD5747">
      <w:pPr>
        <w:pStyle w:val="Textoindependiente"/>
        <w:kinsoku w:val="0"/>
        <w:overflowPunct w:val="0"/>
        <w:rPr>
          <w:lang w:val="es-MX"/>
        </w:rPr>
      </w:pPr>
    </w:p>
    <w:p w14:paraId="32147EFA" w14:textId="77777777" w:rsidR="00DD5747" w:rsidRPr="004714A2" w:rsidRDefault="00DD5747">
      <w:pPr>
        <w:pStyle w:val="Textoindependiente"/>
        <w:kinsoku w:val="0"/>
        <w:overflowPunct w:val="0"/>
        <w:ind w:left="360"/>
        <w:rPr>
          <w:spacing w:val="-2"/>
          <w:lang w:val="es-MX"/>
        </w:rPr>
      </w:pPr>
      <w:r>
        <w:rPr>
          <w:lang w:val="es"/>
        </w:rPr>
        <w:t>Puede solicitar una audiencia estatal por teléfono, de forma electrónica o por escrito:</w:t>
      </w:r>
    </w:p>
    <w:p w14:paraId="5758062D" w14:textId="77777777" w:rsidR="00DD5747" w:rsidRPr="004714A2" w:rsidRDefault="00DD5747">
      <w:pPr>
        <w:pStyle w:val="Textoindependiente"/>
        <w:kinsoku w:val="0"/>
        <w:overflowPunct w:val="0"/>
        <w:spacing w:before="1"/>
        <w:rPr>
          <w:lang w:val="es-MX"/>
        </w:rPr>
      </w:pPr>
    </w:p>
    <w:p w14:paraId="66F1BF84" w14:textId="77777777" w:rsidR="00DD5747" w:rsidRPr="004714A2" w:rsidRDefault="00DD5747">
      <w:pPr>
        <w:pStyle w:val="Prrafodelista"/>
        <w:numPr>
          <w:ilvl w:val="0"/>
          <w:numId w:val="1"/>
        </w:numPr>
        <w:tabs>
          <w:tab w:val="left" w:pos="1080"/>
        </w:tabs>
        <w:kinsoku w:val="0"/>
        <w:overflowPunct w:val="0"/>
        <w:spacing w:line="293" w:lineRule="exact"/>
        <w:rPr>
          <w:spacing w:val="-4"/>
          <w:lang w:val="es-MX"/>
        </w:rPr>
      </w:pPr>
      <w:r>
        <w:rPr>
          <w:u w:val="single"/>
          <w:lang w:val="es"/>
        </w:rPr>
        <w:t>Por teléfono</w:t>
      </w:r>
      <w:r>
        <w:rPr>
          <w:lang w:val="es"/>
        </w:rPr>
        <w:t xml:space="preserve">: llame al </w:t>
      </w:r>
      <w:r>
        <w:rPr>
          <w:b/>
          <w:bCs/>
          <w:lang w:val="es"/>
        </w:rPr>
        <w:t>1-800-952-5253</w:t>
      </w:r>
      <w:r>
        <w:rPr>
          <w:lang w:val="es"/>
        </w:rPr>
        <w:t>. Si no puede hablar u oír bien, llame a la línea</w:t>
      </w:r>
    </w:p>
    <w:p w14:paraId="634D1C9E" w14:textId="77777777" w:rsidR="00DD5747" w:rsidRDefault="00DD5747">
      <w:pPr>
        <w:pStyle w:val="Textoindependiente"/>
        <w:kinsoku w:val="0"/>
        <w:overflowPunct w:val="0"/>
        <w:spacing w:line="275" w:lineRule="exact"/>
        <w:ind w:left="1080"/>
        <w:rPr>
          <w:spacing w:val="-4"/>
        </w:rPr>
      </w:pPr>
      <w:proofErr w:type="spellStart"/>
      <w:r>
        <w:rPr>
          <w:b/>
          <w:bCs/>
          <w:lang w:val="es"/>
        </w:rPr>
        <w:t>TTY</w:t>
      </w:r>
      <w:proofErr w:type="spellEnd"/>
      <w:r>
        <w:rPr>
          <w:b/>
          <w:bCs/>
          <w:lang w:val="es"/>
        </w:rPr>
        <w:t>/</w:t>
      </w:r>
      <w:proofErr w:type="spellStart"/>
      <w:r>
        <w:rPr>
          <w:b/>
          <w:bCs/>
          <w:lang w:val="es"/>
        </w:rPr>
        <w:t>TDD</w:t>
      </w:r>
      <w:proofErr w:type="spellEnd"/>
      <w:r>
        <w:rPr>
          <w:b/>
          <w:bCs/>
          <w:lang w:val="es"/>
        </w:rPr>
        <w:t xml:space="preserve"> al 1-800-952-8349</w:t>
      </w:r>
      <w:r>
        <w:rPr>
          <w:lang w:val="es"/>
        </w:rPr>
        <w:t>.</w:t>
      </w:r>
    </w:p>
    <w:p w14:paraId="204FC84B" w14:textId="77777777" w:rsidR="00DD5747" w:rsidRDefault="00DD5747">
      <w:pPr>
        <w:pStyle w:val="Textoindependiente"/>
        <w:kinsoku w:val="0"/>
        <w:overflowPunct w:val="0"/>
        <w:spacing w:before="1"/>
      </w:pPr>
    </w:p>
    <w:p w14:paraId="2FC3B87E" w14:textId="77777777" w:rsidR="00DD5747" w:rsidRPr="004714A2" w:rsidRDefault="00DD5747">
      <w:pPr>
        <w:pStyle w:val="Prrafodelista"/>
        <w:numPr>
          <w:ilvl w:val="0"/>
          <w:numId w:val="1"/>
        </w:numPr>
        <w:tabs>
          <w:tab w:val="left" w:pos="1080"/>
        </w:tabs>
        <w:kinsoku w:val="0"/>
        <w:overflowPunct w:val="0"/>
        <w:ind w:right="371"/>
        <w:rPr>
          <w:color w:val="0000FF"/>
          <w:spacing w:val="-2"/>
          <w:lang w:val="es-MX"/>
        </w:rPr>
      </w:pPr>
      <w:r>
        <w:rPr>
          <w:u w:val="single"/>
          <w:lang w:val="es"/>
        </w:rPr>
        <w:t>De forma electrónica</w:t>
      </w:r>
      <w:r>
        <w:rPr>
          <w:lang w:val="es"/>
        </w:rPr>
        <w:t xml:space="preserve">: puede solicitar una audiencia estatal en línea. Para completar el formulario electrónico, visite el sitio web del Departamento de Servicios Sociales de California: </w:t>
      </w:r>
      <w:hyperlink r:id="rId7" w:history="1">
        <w:r>
          <w:rPr>
            <w:color w:val="0000FF"/>
            <w:u w:val="single"/>
            <w:lang w:val="es"/>
          </w:rPr>
          <w:t>https://acms.dss.ca.gov/acms/login.request.do</w:t>
        </w:r>
      </w:hyperlink>
    </w:p>
    <w:p w14:paraId="02898C0C" w14:textId="77777777" w:rsidR="00DD5747" w:rsidRPr="004714A2" w:rsidRDefault="00DD5747">
      <w:pPr>
        <w:pStyle w:val="Prrafodelista"/>
        <w:numPr>
          <w:ilvl w:val="0"/>
          <w:numId w:val="1"/>
        </w:numPr>
        <w:tabs>
          <w:tab w:val="left" w:pos="1080"/>
        </w:tabs>
        <w:kinsoku w:val="0"/>
        <w:overflowPunct w:val="0"/>
        <w:spacing w:before="272"/>
        <w:rPr>
          <w:spacing w:val="-5"/>
          <w:lang w:val="es-MX"/>
        </w:rPr>
      </w:pPr>
      <w:r>
        <w:rPr>
          <w:u w:val="single"/>
          <w:lang w:val="es"/>
        </w:rPr>
        <w:lastRenderedPageBreak/>
        <w:t>Por escrito</w:t>
      </w:r>
      <w:r>
        <w:rPr>
          <w:lang w:val="es"/>
        </w:rPr>
        <w:t>: complete un formulario de audiencia estatal o envíe una carta a:</w:t>
      </w:r>
    </w:p>
    <w:p w14:paraId="71CE6CC4" w14:textId="77777777" w:rsidR="00DD5747" w:rsidRDefault="00DD5747">
      <w:pPr>
        <w:pStyle w:val="Textoindependiente"/>
        <w:kinsoku w:val="0"/>
        <w:overflowPunct w:val="0"/>
        <w:spacing w:before="275"/>
        <w:ind w:left="1080" w:right="3844"/>
        <w:rPr>
          <w:b/>
          <w:bCs/>
        </w:rPr>
      </w:pPr>
      <w:r w:rsidRPr="004714A2">
        <w:rPr>
          <w:b/>
          <w:bCs/>
        </w:rPr>
        <w:t>California Department of Social Services State Hearings Division</w:t>
      </w:r>
    </w:p>
    <w:p w14:paraId="172F9531" w14:textId="77777777" w:rsidR="00DD5747" w:rsidRPr="004714A2" w:rsidRDefault="00DD5747">
      <w:pPr>
        <w:pStyle w:val="Textoindependiente"/>
        <w:kinsoku w:val="0"/>
        <w:overflowPunct w:val="0"/>
        <w:ind w:left="1080"/>
        <w:rPr>
          <w:b/>
          <w:bCs/>
          <w:spacing w:val="-5"/>
          <w:lang w:val="es-MX"/>
        </w:rPr>
      </w:pPr>
      <w:r>
        <w:rPr>
          <w:b/>
          <w:bCs/>
          <w:lang w:val="es"/>
        </w:rPr>
        <w:t xml:space="preserve">P.O. Box 944243, Mail </w:t>
      </w:r>
      <w:proofErr w:type="spellStart"/>
      <w:r>
        <w:rPr>
          <w:b/>
          <w:bCs/>
          <w:lang w:val="es"/>
        </w:rPr>
        <w:t>Station</w:t>
      </w:r>
      <w:proofErr w:type="spellEnd"/>
      <w:r>
        <w:rPr>
          <w:b/>
          <w:bCs/>
          <w:lang w:val="es"/>
        </w:rPr>
        <w:t xml:space="preserve"> 9-17-37</w:t>
      </w:r>
    </w:p>
    <w:p w14:paraId="177B3845" w14:textId="77777777" w:rsidR="00DD5747" w:rsidRPr="004714A2" w:rsidRDefault="00DD5747">
      <w:pPr>
        <w:pStyle w:val="Textoindependiente"/>
        <w:kinsoku w:val="0"/>
        <w:overflowPunct w:val="0"/>
        <w:ind w:left="1080"/>
        <w:rPr>
          <w:b/>
          <w:bCs/>
          <w:spacing w:val="-4"/>
          <w:lang w:val="es-MX"/>
        </w:rPr>
      </w:pPr>
      <w:r>
        <w:rPr>
          <w:b/>
          <w:bCs/>
          <w:lang w:val="es"/>
        </w:rPr>
        <w:t>Sacramento, CA 94244-2430</w:t>
      </w:r>
    </w:p>
    <w:p w14:paraId="6D2A5CC5" w14:textId="77777777" w:rsidR="00DD5747" w:rsidRPr="004714A2" w:rsidRDefault="00DD5747">
      <w:pPr>
        <w:pStyle w:val="Textoindependiente"/>
        <w:kinsoku w:val="0"/>
        <w:overflowPunct w:val="0"/>
        <w:rPr>
          <w:b/>
          <w:bCs/>
          <w:lang w:val="es-MX"/>
        </w:rPr>
      </w:pPr>
    </w:p>
    <w:p w14:paraId="539D8092" w14:textId="41CA3170" w:rsidR="00DD5747" w:rsidRPr="004714A2" w:rsidRDefault="00DD5747" w:rsidP="00327AC8">
      <w:pPr>
        <w:pStyle w:val="Textoindependiente"/>
        <w:kinsoku w:val="0"/>
        <w:overflowPunct w:val="0"/>
        <w:ind w:left="1080" w:right="413"/>
        <w:rPr>
          <w:lang w:val="es-MX"/>
        </w:rPr>
      </w:pPr>
      <w:r>
        <w:rPr>
          <w:lang w:val="es"/>
        </w:rPr>
        <w:t>Asegúrese de incluir su nombre, su dirección, su número de teléfono, su fecha de nacimiento y la razón por la que solicita una audiencia estatal. Si otra persona lo ayuda a solicitar una audiencia estatal, agregue al formulario o a la carta el nombre, la dirección y el número de teléfono de la persona que lo ayuda. Si necesita un intérprete, díganos qué idioma habla. No deberá pagar por un intérprete; nosotros le conseguiremos uno.</w:t>
      </w:r>
    </w:p>
    <w:p w14:paraId="5C5A51A8" w14:textId="77777777" w:rsidR="00DD5747" w:rsidRPr="004714A2" w:rsidRDefault="00DD5747">
      <w:pPr>
        <w:pStyle w:val="Textoindependiente"/>
        <w:kinsoku w:val="0"/>
        <w:overflowPunct w:val="0"/>
        <w:rPr>
          <w:lang w:val="es-MX"/>
        </w:rPr>
      </w:pPr>
    </w:p>
    <w:p w14:paraId="0FFB7419" w14:textId="73BAD96F" w:rsidR="00DD5747" w:rsidRPr="004714A2" w:rsidRDefault="00DD5747" w:rsidP="004714A2">
      <w:pPr>
        <w:pStyle w:val="Textoindependiente"/>
        <w:kinsoku w:val="0"/>
        <w:overflowPunct w:val="0"/>
        <w:spacing w:before="1"/>
        <w:ind w:left="360" w:right="349"/>
        <w:rPr>
          <w:lang w:val="es-MX"/>
        </w:rPr>
      </w:pPr>
      <w:r>
        <w:rPr>
          <w:lang w:val="es"/>
        </w:rPr>
        <w:t xml:space="preserve">Una vez solicitada la audiencia estatal, podrían transcurrir hasta 90 días antes de que se tome una decisión sobre su caso y se le envíe una respuesta. Si cree que una espera tan prolongada perjudicará su salud, podría obtener una respuesta dentro de las 72 horas. Puede pedirle a su médico o a su plan que escriban una carta en su nombre o puede escribir una usted mismo. En la carta se debe explicar detalladamente de qué manera la espera de hasta 90 días para la decisión sobre su caso perjudicará gravemente su vida, su salud o su capacidad para lograr, mantener o recuperar la máxima funcionalidad. Luego, asegúrese de solicitar una </w:t>
      </w:r>
      <w:r>
        <w:rPr>
          <w:b/>
          <w:bCs/>
          <w:lang w:val="es"/>
        </w:rPr>
        <w:t>audiencia acelerada</w:t>
      </w:r>
      <w:r>
        <w:rPr>
          <w:lang w:val="es"/>
        </w:rPr>
        <w:t xml:space="preserve"> y</w:t>
      </w:r>
      <w:r w:rsidR="004714A2">
        <w:rPr>
          <w:lang w:val="es"/>
        </w:rPr>
        <w:t> </w:t>
      </w:r>
      <w:r>
        <w:rPr>
          <w:lang w:val="es"/>
        </w:rPr>
        <w:t>presente la carta junto con su solicitud de audiencia.</w:t>
      </w:r>
    </w:p>
    <w:p w14:paraId="3CA1A34C" w14:textId="77777777" w:rsidR="00DD5747" w:rsidRPr="004714A2" w:rsidRDefault="00DD5747">
      <w:pPr>
        <w:pStyle w:val="Textoindependiente"/>
        <w:kinsoku w:val="0"/>
        <w:overflowPunct w:val="0"/>
        <w:rPr>
          <w:lang w:val="es-MX"/>
        </w:rPr>
      </w:pPr>
    </w:p>
    <w:p w14:paraId="200267A3" w14:textId="77777777" w:rsidR="00DD5747" w:rsidRPr="004714A2" w:rsidRDefault="00DD5747">
      <w:pPr>
        <w:pStyle w:val="Textoindependiente"/>
        <w:kinsoku w:val="0"/>
        <w:overflowPunct w:val="0"/>
        <w:rPr>
          <w:lang w:val="es-MX"/>
        </w:rPr>
      </w:pPr>
    </w:p>
    <w:p w14:paraId="174EA791" w14:textId="77777777" w:rsidR="00DD5747" w:rsidRPr="004714A2" w:rsidRDefault="00DD5747">
      <w:pPr>
        <w:pStyle w:val="Textoindependiente"/>
        <w:kinsoku w:val="0"/>
        <w:overflowPunct w:val="0"/>
        <w:ind w:left="360"/>
        <w:rPr>
          <w:b/>
          <w:bCs/>
          <w:lang w:val="es-MX"/>
        </w:rPr>
      </w:pPr>
      <w:r>
        <w:rPr>
          <w:b/>
          <w:bCs/>
          <w:u w:val="single"/>
          <w:lang w:val="es"/>
        </w:rPr>
        <w:t>Representante autorizado</w:t>
      </w:r>
    </w:p>
    <w:p w14:paraId="3F7F26DD" w14:textId="77777777" w:rsidR="00DD5747" w:rsidRPr="004714A2" w:rsidRDefault="00DD5747">
      <w:pPr>
        <w:pStyle w:val="Textoindependiente"/>
        <w:kinsoku w:val="0"/>
        <w:overflowPunct w:val="0"/>
        <w:rPr>
          <w:b/>
          <w:bCs/>
          <w:lang w:val="es-MX"/>
        </w:rPr>
      </w:pPr>
    </w:p>
    <w:p w14:paraId="0C02C72D" w14:textId="77777777" w:rsidR="00DD5747" w:rsidRPr="004714A2" w:rsidRDefault="00DD5747">
      <w:pPr>
        <w:pStyle w:val="Textoindependiente"/>
        <w:kinsoku w:val="0"/>
        <w:overflowPunct w:val="0"/>
        <w:spacing w:before="1"/>
        <w:ind w:left="360" w:right="413"/>
        <w:rPr>
          <w:lang w:val="es-MX"/>
        </w:rPr>
      </w:pPr>
      <w:r>
        <w:rPr>
          <w:lang w:val="es"/>
        </w:rPr>
        <w:t>En la audiencia estatal, usted puede hablar por sí mismo o puede pedirle a un familiar, amigo, defensor, médico o abogado que lo haga en su nombre. Si desea que esta persona hable por usted, debe avisarle a la oficina de audiencias estatales que esa persona está autorizada a hablar en su nombre. A esta persona se la llama “representante autorizado”.</w:t>
      </w:r>
    </w:p>
    <w:p w14:paraId="619FC97C" w14:textId="77777777" w:rsidR="00DD5747" w:rsidRPr="004714A2" w:rsidRDefault="00DD5747">
      <w:pPr>
        <w:pStyle w:val="Textoindependiente"/>
        <w:kinsoku w:val="0"/>
        <w:overflowPunct w:val="0"/>
        <w:spacing w:before="276"/>
        <w:ind w:left="360"/>
        <w:rPr>
          <w:b/>
          <w:bCs/>
          <w:lang w:val="es-MX"/>
        </w:rPr>
      </w:pPr>
      <w:r>
        <w:rPr>
          <w:b/>
          <w:bCs/>
          <w:u w:val="single"/>
          <w:lang w:val="es"/>
        </w:rPr>
        <w:t>Ayuda legal</w:t>
      </w:r>
    </w:p>
    <w:p w14:paraId="4A018678" w14:textId="77777777" w:rsidR="00DD5747" w:rsidRPr="004714A2" w:rsidRDefault="00DD5747">
      <w:pPr>
        <w:pStyle w:val="Textoindependiente"/>
        <w:kinsoku w:val="0"/>
        <w:overflowPunct w:val="0"/>
        <w:spacing w:before="230"/>
        <w:ind w:left="360" w:right="491"/>
        <w:rPr>
          <w:lang w:val="es-MX"/>
        </w:rPr>
      </w:pPr>
      <w:r>
        <w:rPr>
          <w:lang w:val="es"/>
        </w:rPr>
        <w:t>Puede recibir ayuda legal gratuita. Puede llamar al programa local de ayuda legal de su condado al 888</w:t>
      </w:r>
      <w:r>
        <w:rPr>
          <w:rFonts w:ascii="Cambria Math" w:hAnsi="Cambria Math"/>
          <w:lang w:val="es"/>
        </w:rPr>
        <w:t>-</w:t>
      </w:r>
      <w:r>
        <w:rPr>
          <w:lang w:val="es"/>
        </w:rPr>
        <w:t>804</w:t>
      </w:r>
      <w:r>
        <w:rPr>
          <w:rFonts w:ascii="Cambria Math" w:hAnsi="Cambria Math"/>
          <w:lang w:val="es"/>
        </w:rPr>
        <w:t>-</w:t>
      </w:r>
      <w:r>
        <w:rPr>
          <w:lang w:val="es"/>
        </w:rPr>
        <w:t>3536.</w:t>
      </w:r>
      <w:bookmarkStart w:id="0" w:name="_GoBack"/>
      <w:bookmarkEnd w:id="0"/>
    </w:p>
    <w:sectPr w:rsidR="00DD5747" w:rsidRPr="004714A2">
      <w:footerReference w:type="default" r:id="rId8"/>
      <w:pgSz w:w="12240" w:h="15840"/>
      <w:pgMar w:top="1080" w:right="1080" w:bottom="2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211337" w14:textId="77777777" w:rsidR="00514645" w:rsidRDefault="00514645" w:rsidP="007D7212">
      <w:r>
        <w:separator/>
      </w:r>
    </w:p>
  </w:endnote>
  <w:endnote w:type="continuationSeparator" w:id="0">
    <w:p w14:paraId="2839A9C5" w14:textId="77777777" w:rsidR="00514645" w:rsidRDefault="00514645" w:rsidP="007D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80000287" w:usb1="188F1C12" w:usb2="00000016" w:usb3="00000000" w:csb0="00040009" w:csb1="00000000"/>
  </w:font>
  <w:font w:name="Arial">
    <w:panose1 w:val="020B0604020202020204"/>
    <w:charset w:val="00"/>
    <w:family w:val="swiss"/>
    <w:pitch w:val="variable"/>
    <w:sig w:usb0="E0002EFF" w:usb1="C000785B" w:usb2="00000009" w:usb3="00000000" w:csb0="000001FF" w:csb1="00000000"/>
  </w:font>
  <w:font w:name="Aptos Display">
    <w:altName w:val="Arial"/>
    <w:panose1 w:val="020B0004020202020204"/>
    <w:charset w:val="00"/>
    <w:family w:val="swiss"/>
    <w:pitch w:val="variable"/>
    <w:sig w:usb0="00000001" w:usb1="00000003" w:usb2="00000000" w:usb3="00000000" w:csb0="0000019F" w:csb1="00000000"/>
  </w:font>
  <w:font w:name="DengXian Light">
    <w:altName w:val="等线 Light"/>
    <w:panose1 w:val="02010600030101010101"/>
    <w:charset w:val="86"/>
    <w:family w:val="auto"/>
    <w:pitch w:val="variable"/>
    <w:sig w:usb0="80000287" w:usb1="188F1C12" w:usb2="00000016" w:usb3="00000000" w:csb0="00040009" w:csb1="00000000"/>
  </w:font>
  <w:font w:name="Cambria Math">
    <w:panose1 w:val="02040503050406030204"/>
    <w:charset w:val="00"/>
    <w:family w:val="roman"/>
    <w:pitch w:val="variable"/>
    <w:sig w:usb0="E00006FF" w:usb1="420024FF" w:usb2="02000000" w:usb3="00000000" w:csb0="0000019F" w:csb1="00000000"/>
  </w:font>
  <w:font w:name="Vrinda">
    <w:altName w:val="Courier Std"/>
    <w:panose1 w:val="000004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71C0" w14:textId="77777777" w:rsidR="007D7212" w:rsidRPr="007D7212" w:rsidRDefault="007D7212" w:rsidP="007D7212">
    <w:pPr>
      <w:pStyle w:val="Piedepgina"/>
    </w:pPr>
  </w:p>
  <w:p w14:paraId="08CECA9A" w14:textId="77777777" w:rsidR="007D7212" w:rsidRPr="004714A2" w:rsidRDefault="007D7212" w:rsidP="007D7212">
    <w:pPr>
      <w:pStyle w:val="Piedepgina"/>
      <w:rPr>
        <w:spacing w:val="-2"/>
        <w:sz w:val="24"/>
        <w:szCs w:val="24"/>
        <w:lang w:val="es-MX"/>
      </w:rPr>
    </w:pPr>
    <w:r w:rsidRPr="004714A2">
      <w:rPr>
        <w:spacing w:val="-2"/>
        <w:sz w:val="24"/>
        <w:szCs w:val="24"/>
        <w:lang w:val="es"/>
      </w:rPr>
      <w:t>Anexo “Sus derechos” del Aviso de resolución de apelación (NAR) (revisado en marzo de 2025)</w:t>
    </w:r>
  </w:p>
  <w:p w14:paraId="003F2AB3" w14:textId="77777777" w:rsidR="007D7212" w:rsidRPr="007D7212" w:rsidRDefault="007D7212" w:rsidP="007D7212">
    <w:pPr>
      <w:pStyle w:val="Piedepgina"/>
      <w:rPr>
        <w:sz w:val="24"/>
        <w:szCs w:val="24"/>
      </w:rPr>
    </w:pPr>
    <w:r>
      <w:rPr>
        <w:sz w:val="24"/>
        <w:szCs w:val="24"/>
        <w:lang w:val="es"/>
      </w:rPr>
      <w:t>QM025_E (Rev. 03/25)</w:t>
    </w:r>
  </w:p>
  <w:p w14:paraId="1255C3B6" w14:textId="77777777" w:rsidR="007D7212" w:rsidRDefault="007D721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6AEB9" w14:textId="77777777" w:rsidR="00514645" w:rsidRDefault="00514645" w:rsidP="007D7212">
      <w:r>
        <w:separator/>
      </w:r>
    </w:p>
  </w:footnote>
  <w:footnote w:type="continuationSeparator" w:id="0">
    <w:p w14:paraId="664C5841" w14:textId="77777777" w:rsidR="00514645" w:rsidRDefault="00514645" w:rsidP="007D72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FFFFFFFF"/>
    <w:lvl w:ilvl="0">
      <w:numFmt w:val="bullet"/>
      <w:lvlText w:val=""/>
      <w:lvlJc w:val="left"/>
      <w:pPr>
        <w:ind w:left="1080" w:hanging="360"/>
      </w:pPr>
      <w:rPr>
        <w:rFonts w:ascii="Symbol" w:hAnsi="Symbol"/>
        <w:b w:val="0"/>
        <w:i w:val="0"/>
        <w:color w:val="000000" w:themeColor="text1"/>
        <w:spacing w:val="0"/>
        <w:w w:val="100"/>
        <w:sz w:val="24"/>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212"/>
    <w:rsid w:val="001A7C18"/>
    <w:rsid w:val="001B77B3"/>
    <w:rsid w:val="00201EFC"/>
    <w:rsid w:val="00267BEA"/>
    <w:rsid w:val="00287808"/>
    <w:rsid w:val="00327AC8"/>
    <w:rsid w:val="0042681B"/>
    <w:rsid w:val="00455DAC"/>
    <w:rsid w:val="004714A2"/>
    <w:rsid w:val="00514645"/>
    <w:rsid w:val="007A1741"/>
    <w:rsid w:val="007D7212"/>
    <w:rsid w:val="008F3371"/>
    <w:rsid w:val="00B15D9B"/>
    <w:rsid w:val="00BC5013"/>
    <w:rsid w:val="00BF215D"/>
    <w:rsid w:val="00C74557"/>
    <w:rsid w:val="00CF70AC"/>
    <w:rsid w:val="00D00F05"/>
    <w:rsid w:val="00D232AF"/>
    <w:rsid w:val="00DD5747"/>
    <w:rsid w:val="00F152B9"/>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BDC817"/>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Ttulo1">
    <w:name w:val="heading 1"/>
    <w:basedOn w:val="Normal"/>
    <w:next w:val="Normal"/>
    <w:link w:val="Ttulo1Car"/>
    <w:uiPriority w:val="1"/>
    <w:qFormat/>
    <w:pPr>
      <w:ind w:left="360" w:right="413"/>
      <w:outlineLvl w:val="0"/>
    </w:pPr>
    <w:rPr>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imes New Roman"/>
      <w:b/>
      <w:bCs/>
      <w:kern w:val="32"/>
      <w:sz w:val="32"/>
      <w:szCs w:val="32"/>
    </w:rPr>
  </w:style>
  <w:style w:type="paragraph" w:styleId="Textoindependiente">
    <w:name w:val="Body Text"/>
    <w:basedOn w:val="Normal"/>
    <w:link w:val="TextoindependienteCar"/>
    <w:uiPriority w:val="1"/>
    <w:qFormat/>
    <w:rPr>
      <w:sz w:val="24"/>
      <w:szCs w:val="24"/>
    </w:rPr>
  </w:style>
  <w:style w:type="character" w:customStyle="1" w:styleId="TextoindependienteCar">
    <w:name w:val="Texto independiente Car"/>
    <w:basedOn w:val="Fuentedeprrafopredeter"/>
    <w:link w:val="Textoindependiente"/>
    <w:uiPriority w:val="99"/>
    <w:semiHidden/>
    <w:rPr>
      <w:rFonts w:ascii="Arial" w:hAnsi="Arial" w:cs="Arial"/>
      <w:kern w:val="0"/>
      <w:sz w:val="22"/>
      <w:szCs w:val="22"/>
    </w:rPr>
  </w:style>
  <w:style w:type="paragraph" w:styleId="Prrafodelista">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Encabezado">
    <w:name w:val="header"/>
    <w:basedOn w:val="Normal"/>
    <w:link w:val="EncabezadoCar"/>
    <w:uiPriority w:val="99"/>
    <w:unhideWhenUsed/>
    <w:rsid w:val="007D7212"/>
    <w:pPr>
      <w:tabs>
        <w:tab w:val="center" w:pos="4680"/>
        <w:tab w:val="right" w:pos="9360"/>
      </w:tabs>
    </w:pPr>
  </w:style>
  <w:style w:type="character" w:customStyle="1" w:styleId="EncabezadoCar">
    <w:name w:val="Encabezado Car"/>
    <w:basedOn w:val="Fuentedeprrafopredeter"/>
    <w:link w:val="Encabezado"/>
    <w:uiPriority w:val="99"/>
    <w:rsid w:val="007D7212"/>
    <w:rPr>
      <w:rFonts w:ascii="Arial" w:hAnsi="Arial" w:cs="Arial"/>
      <w:kern w:val="0"/>
      <w:sz w:val="22"/>
      <w:szCs w:val="22"/>
    </w:rPr>
  </w:style>
  <w:style w:type="paragraph" w:styleId="Piedepgina">
    <w:name w:val="footer"/>
    <w:basedOn w:val="Normal"/>
    <w:link w:val="PiedepginaCar"/>
    <w:uiPriority w:val="99"/>
    <w:unhideWhenUsed/>
    <w:rsid w:val="007D7212"/>
    <w:pPr>
      <w:tabs>
        <w:tab w:val="center" w:pos="4680"/>
        <w:tab w:val="right" w:pos="9360"/>
      </w:tabs>
    </w:pPr>
  </w:style>
  <w:style w:type="character" w:customStyle="1" w:styleId="PiedepginaCar">
    <w:name w:val="Pie de página Car"/>
    <w:basedOn w:val="Fuentedeprrafopredeter"/>
    <w:link w:val="Piedepgina"/>
    <w:uiPriority w:val="99"/>
    <w:rsid w:val="007D7212"/>
    <w:rPr>
      <w:rFonts w:ascii="Arial" w:hAnsi="Arial" w:cs="Arial"/>
      <w:kern w:val="0"/>
      <w:sz w:val="22"/>
      <w:szCs w:val="22"/>
    </w:rPr>
  </w:style>
  <w:style w:type="paragraph" w:styleId="Revisin">
    <w:name w:val="Revision"/>
    <w:hidden/>
    <w:uiPriority w:val="99"/>
    <w:semiHidden/>
    <w:rsid w:val="007A1741"/>
    <w:pPr>
      <w:spacing w:after="0" w:line="240" w:lineRule="auto"/>
    </w:pPr>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630</Words>
  <Characters>3593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Diego</cp:lastModifiedBy>
  <cp:revision>9</cp:revision>
  <dcterms:created xsi:type="dcterms:W3CDTF">2026-06-25T11:19:00Z</dcterms:created>
  <dcterms:modified xsi:type="dcterms:W3CDTF">2026-07-31T20:01:00Z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4e64cb32-ca3c-45ea-8c39-e75a3fdda713</vt:lpwstr>
  </property>
</Properties>
</file>